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AA" w:rsidRPr="008208AA" w:rsidRDefault="008208AA" w:rsidP="000060DA">
      <w:pPr>
        <w:pStyle w:val="H30"/>
        <w:keepNext/>
        <w:rPr>
          <w:rFonts w:eastAsia="Times New Roman"/>
          <w:i w:val="0"/>
          <w:color w:val="984806" w:themeColor="accent6" w:themeShade="80"/>
        </w:rPr>
      </w:pPr>
      <w:bookmarkStart w:id="0" w:name="_Toc310350376"/>
      <w:r>
        <w:rPr>
          <w:rFonts w:eastAsia="Times New Roman"/>
          <w:i w:val="0"/>
          <w:color w:val="984806" w:themeColor="accent6" w:themeShade="80"/>
        </w:rPr>
        <w:t>TANZANIA</w:t>
      </w:r>
      <w:r w:rsidR="00DA2CC6">
        <w:rPr>
          <w:rFonts w:eastAsia="Times New Roman"/>
          <w:i w:val="0"/>
          <w:color w:val="984806" w:themeColor="accent6" w:themeShade="80"/>
        </w:rPr>
        <w:t xml:space="preserve"> EVALUATION UNDER EADSI</w:t>
      </w:r>
    </w:p>
    <w:p w:rsidR="008208AA" w:rsidRPr="008208AA" w:rsidRDefault="008208AA" w:rsidP="008208AA">
      <w:pPr>
        <w:spacing w:after="0" w:line="240" w:lineRule="auto"/>
        <w:outlineLvl w:val="0"/>
        <w:rPr>
          <w:rFonts w:ascii="Calibri" w:eastAsia="Times New Roman" w:hAnsi="Calibri" w:cs="Times New Roman"/>
          <w:i/>
          <w:color w:val="993300"/>
        </w:rPr>
      </w:pPr>
    </w:p>
    <w:p w:rsidR="008208AA" w:rsidRDefault="00DA2CC6" w:rsidP="00DA2CC6">
      <w:pPr>
        <w:spacing w:after="0" w:line="240" w:lineRule="auto"/>
        <w:outlineLvl w:val="0"/>
        <w:rPr>
          <w:rFonts w:ascii="Calibri" w:eastAsia="Times New Roman" w:hAnsi="Calibri" w:cs="Times New Roman"/>
        </w:rPr>
      </w:pPr>
      <w:r w:rsidRPr="00D127FD">
        <w:rPr>
          <w:rFonts w:cs="Gill Sans MT"/>
          <w:bCs/>
        </w:rPr>
        <w:t xml:space="preserve">In Tanzania, </w:t>
      </w:r>
      <w:r>
        <w:rPr>
          <w:rFonts w:cs="Gill Sans MT"/>
          <w:bCs/>
        </w:rPr>
        <w:t>we</w:t>
      </w:r>
      <w:r w:rsidRPr="00D127FD">
        <w:t xml:space="preserve"> carried out </w:t>
      </w:r>
      <w:r>
        <w:t>the evaluation i</w:t>
      </w:r>
      <w:r w:rsidRPr="00D127FD">
        <w:t>n Singida (intervention region)</w:t>
      </w:r>
      <w:r>
        <w:t>,</w:t>
      </w:r>
      <w:r w:rsidRPr="00D127FD">
        <w:t xml:space="preserve"> where the ADDO program was being scaled up under a decentralized model</w:t>
      </w:r>
      <w:r>
        <w:t>, and</w:t>
      </w:r>
      <w:r w:rsidRPr="00D127FD">
        <w:t xml:space="preserve"> compared </w:t>
      </w:r>
      <w:r>
        <w:t xml:space="preserve">it </w:t>
      </w:r>
      <w:r w:rsidRPr="00D127FD">
        <w:t>with Mara (control region)</w:t>
      </w:r>
      <w:r>
        <w:t>,</w:t>
      </w:r>
      <w:r w:rsidRPr="00D127FD">
        <w:t xml:space="preserve"> which still had unaccredited shops, </w:t>
      </w:r>
      <w:r w:rsidRPr="00D127FD">
        <w:rPr>
          <w:i/>
        </w:rPr>
        <w:t>duka la dawa baridi</w:t>
      </w:r>
      <w:r w:rsidRPr="00D127FD">
        <w:t xml:space="preserve"> (DLDB), in operation. </w:t>
      </w:r>
      <w:r>
        <w:t>We selected t</w:t>
      </w:r>
      <w:r w:rsidRPr="00D127FD">
        <w:t>he two regions because they are comparable in several health and soci</w:t>
      </w:r>
      <w:r>
        <w:t>o</w:t>
      </w:r>
      <w:r w:rsidRPr="00D127FD">
        <w:t>economic indicators.</w:t>
      </w:r>
      <w:r>
        <w:t xml:space="preserve"> </w:t>
      </w:r>
      <w:r w:rsidR="008208AA" w:rsidRPr="008208AA">
        <w:rPr>
          <w:rFonts w:ascii="Calibri" w:eastAsia="Times New Roman" w:hAnsi="Calibri" w:cs="Arial"/>
        </w:rPr>
        <w:t xml:space="preserve">The decentralized ADDO implementation model was evaluated in </w:t>
      </w:r>
      <w:r w:rsidR="008208AA" w:rsidRPr="008208AA">
        <w:rPr>
          <w:rFonts w:ascii="Calibri" w:eastAsia="Times New Roman" w:hAnsi="Calibri" w:cs="Times New Roman"/>
        </w:rPr>
        <w:t xml:space="preserve">30 shops in </w:t>
      </w:r>
      <w:r w:rsidR="008208AA" w:rsidRPr="008208AA">
        <w:rPr>
          <w:rFonts w:ascii="Calibri" w:eastAsia="Times New Roman" w:hAnsi="Calibri" w:cs="Arial"/>
        </w:rPr>
        <w:t xml:space="preserve">Singida region, while </w:t>
      </w:r>
      <w:r w:rsidR="008208AA" w:rsidRPr="008208AA">
        <w:rPr>
          <w:rFonts w:ascii="Calibri" w:eastAsia="Times New Roman" w:hAnsi="Calibri" w:cs="Times New Roman"/>
        </w:rPr>
        <w:t xml:space="preserve">30 shops in </w:t>
      </w:r>
      <w:r w:rsidR="008208AA" w:rsidRPr="008208AA">
        <w:rPr>
          <w:rFonts w:ascii="Calibri" w:eastAsia="Times New Roman" w:hAnsi="Calibri" w:cs="Arial"/>
        </w:rPr>
        <w:t>Mara served as the control. Baseline and endline quantitative data collection on unaccredited drug shops and ADDOs in Singida and Mara used shop audits</w:t>
      </w:r>
      <w:r w:rsidR="008208AA" w:rsidRPr="008208AA">
        <w:rPr>
          <w:rFonts w:ascii="Calibri" w:eastAsia="Times New Roman" w:hAnsi="Calibri" w:cs="Times New Roman"/>
        </w:rPr>
        <w:t xml:space="preserve"> to assess availability</w:t>
      </w:r>
      <w:r w:rsidR="008208AA" w:rsidRPr="008208AA">
        <w:rPr>
          <w:rFonts w:ascii="Calibri" w:eastAsia="Times New Roman" w:hAnsi="Calibri" w:cs="Arial"/>
        </w:rPr>
        <w:t xml:space="preserve"> and mystery shoppers</w:t>
      </w:r>
      <w:r w:rsidR="008208AA" w:rsidRPr="008208AA">
        <w:rPr>
          <w:rFonts w:ascii="Calibri" w:eastAsia="Times New Roman" w:hAnsi="Calibri" w:cs="Times New Roman"/>
        </w:rPr>
        <w:t xml:space="preserve"> to evaluate dispensing quality; 120 mystery shoppers in each region presented at unaccredited drug shops or ADDOs using the scenario of a child with simple malaria or nonbloody diarrhea. </w:t>
      </w:r>
    </w:p>
    <w:p w:rsidR="00DA2CC6" w:rsidRDefault="00DA2CC6" w:rsidP="00DA2CC6">
      <w:pPr>
        <w:spacing w:after="0" w:line="240" w:lineRule="auto"/>
        <w:outlineLvl w:val="0"/>
        <w:rPr>
          <w:rFonts w:eastAsia="Times New Roman"/>
          <w:color w:val="984806" w:themeColor="accent6" w:themeShade="80"/>
        </w:rPr>
      </w:pPr>
    </w:p>
    <w:p w:rsidR="000060DA" w:rsidRPr="008208AA" w:rsidRDefault="000060DA" w:rsidP="000060DA">
      <w:pPr>
        <w:pStyle w:val="H30"/>
        <w:keepNext/>
        <w:rPr>
          <w:rFonts w:eastAsia="Times New Roman"/>
          <w:color w:val="984806" w:themeColor="accent6" w:themeShade="80"/>
        </w:rPr>
      </w:pPr>
      <w:r w:rsidRPr="008208AA">
        <w:rPr>
          <w:rFonts w:eastAsia="Times New Roman"/>
          <w:color w:val="984806" w:themeColor="accent6" w:themeShade="80"/>
        </w:rPr>
        <w:t>Availability of antidiarrheal products</w:t>
      </w:r>
      <w:bookmarkEnd w:id="0"/>
    </w:p>
    <w:p w:rsidR="000060DA" w:rsidRPr="00D127FD" w:rsidRDefault="000060DA" w:rsidP="000060DA">
      <w:pPr>
        <w:keepNext/>
        <w:spacing w:after="0" w:line="240" w:lineRule="auto"/>
        <w:outlineLvl w:val="0"/>
        <w:rPr>
          <w:rFonts w:eastAsia="Times New Roman" w:cs="Arial"/>
        </w:rPr>
      </w:pPr>
      <w:r w:rsidRPr="00D127FD">
        <w:rPr>
          <w:rFonts w:eastAsia="Times New Roman" w:cs="Arial"/>
        </w:rPr>
        <w:t xml:space="preserve">Oral rehydration </w:t>
      </w:r>
      <w:r>
        <w:rPr>
          <w:rFonts w:eastAsia="Times New Roman" w:cs="Arial"/>
        </w:rPr>
        <w:t>solution</w:t>
      </w:r>
      <w:r w:rsidRPr="00D127FD">
        <w:rPr>
          <w:rFonts w:eastAsia="Times New Roman" w:cs="Arial"/>
        </w:rPr>
        <w:t xml:space="preserve"> (ORS) is the key product </w:t>
      </w:r>
      <w:r>
        <w:rPr>
          <w:rFonts w:eastAsia="Times New Roman" w:cs="Arial"/>
        </w:rPr>
        <w:t xml:space="preserve">recommended </w:t>
      </w:r>
      <w:r w:rsidRPr="00D127FD">
        <w:rPr>
          <w:rFonts w:eastAsia="Times New Roman" w:cs="Arial"/>
        </w:rPr>
        <w:t xml:space="preserve">for </w:t>
      </w:r>
      <w:r>
        <w:rPr>
          <w:rFonts w:eastAsia="Times New Roman" w:cs="Arial"/>
        </w:rPr>
        <w:t>managing non</w:t>
      </w:r>
      <w:r w:rsidRPr="00D127FD">
        <w:rPr>
          <w:rFonts w:eastAsia="Times New Roman" w:cs="Arial"/>
        </w:rPr>
        <w:t>bloody diarrhea in children in Tanzania. In Singida, the intervention district, th</w:t>
      </w:r>
      <w:r>
        <w:rPr>
          <w:rFonts w:eastAsia="Times New Roman" w:cs="Arial"/>
        </w:rPr>
        <w:t>e availability of this</w:t>
      </w:r>
      <w:r w:rsidRPr="00D127FD">
        <w:rPr>
          <w:rFonts w:eastAsia="Times New Roman" w:cs="Arial"/>
        </w:rPr>
        <w:t xml:space="preserve"> product increased by 1</w:t>
      </w:r>
      <w:r>
        <w:rPr>
          <w:rFonts w:eastAsia="Times New Roman" w:cs="Arial"/>
        </w:rPr>
        <w:t>5</w:t>
      </w:r>
      <w:r w:rsidRPr="00D127FD">
        <w:rPr>
          <w:rFonts w:eastAsia="Times New Roman" w:cs="Arial"/>
        </w:rPr>
        <w:t xml:space="preserve">% </w:t>
      </w:r>
      <w:r w:rsidR="008208AA" w:rsidRPr="000060DA">
        <w:rPr>
          <w:rFonts w:ascii="Calibri" w:eastAsia="Times New Roman" w:hAnsi="Calibri" w:cs="Arial"/>
        </w:rPr>
        <w:t xml:space="preserve">(from 72% at baseline to 83% at endline) </w:t>
      </w:r>
      <w:r w:rsidRPr="00D127FD">
        <w:rPr>
          <w:rFonts w:eastAsia="Times New Roman" w:cs="Arial"/>
        </w:rPr>
        <w:t>following the intervention. In the control district</w:t>
      </w:r>
      <w:r w:rsidR="008208AA">
        <w:rPr>
          <w:rFonts w:eastAsia="Times New Roman" w:cs="Arial"/>
        </w:rPr>
        <w:t>, Mara,</w:t>
      </w:r>
      <w:r w:rsidRPr="00D127FD">
        <w:rPr>
          <w:rFonts w:eastAsia="Times New Roman" w:cs="Arial"/>
        </w:rPr>
        <w:t xml:space="preserve"> there was no increase. Recently a number of different child health programs in developing countries have been p</w:t>
      </w:r>
      <w:r>
        <w:rPr>
          <w:rFonts w:eastAsia="Times New Roman" w:cs="Arial"/>
        </w:rPr>
        <w:t>romoting the use of zinc in non</w:t>
      </w:r>
      <w:r w:rsidRPr="00D127FD">
        <w:rPr>
          <w:rFonts w:eastAsia="Times New Roman" w:cs="Arial"/>
        </w:rPr>
        <w:t>bloody diarrhea in children. In Singida</w:t>
      </w:r>
      <w:r>
        <w:rPr>
          <w:rFonts w:eastAsia="Times New Roman" w:cs="Arial"/>
        </w:rPr>
        <w:t>,</w:t>
      </w:r>
      <w:r w:rsidRPr="00D127FD">
        <w:rPr>
          <w:rFonts w:eastAsia="Times New Roman" w:cs="Arial"/>
        </w:rPr>
        <w:t xml:space="preserve"> where such programs </w:t>
      </w:r>
      <w:r>
        <w:rPr>
          <w:rFonts w:eastAsia="Times New Roman" w:cs="Arial"/>
        </w:rPr>
        <w:t>did not exist</w:t>
      </w:r>
      <w:r w:rsidRPr="00D127FD">
        <w:rPr>
          <w:rFonts w:eastAsia="Times New Roman" w:cs="Arial"/>
        </w:rPr>
        <w:t xml:space="preserve">, the availability of this product increased from zero to 28%. However, </w:t>
      </w:r>
      <w:r w:rsidR="008208AA">
        <w:rPr>
          <w:rFonts w:ascii="Calibri" w:eastAsia="Times New Roman" w:hAnsi="Calibri" w:cs="Arial"/>
        </w:rPr>
        <w:t>i</w:t>
      </w:r>
      <w:r w:rsidR="008208AA" w:rsidRPr="000060DA">
        <w:rPr>
          <w:rFonts w:ascii="Calibri" w:eastAsia="Times New Roman" w:hAnsi="Calibri" w:cs="Arial"/>
        </w:rPr>
        <w:t>n Mara, the control region, ORS availability remained static, while zinc tablet availability jumped from 9% to 52% (p&lt;0.05), due to the start of another regional initiative targeting diarrhea.</w:t>
      </w:r>
      <w:r w:rsidRPr="00D127FD">
        <w:rPr>
          <w:rFonts w:eastAsia="Times New Roman" w:cs="Arial"/>
        </w:rPr>
        <w:t xml:space="preserve">in the control district where such programs </w:t>
      </w:r>
      <w:r>
        <w:rPr>
          <w:rFonts w:eastAsia="Times New Roman" w:cs="Arial"/>
        </w:rPr>
        <w:t>did exist</w:t>
      </w:r>
      <w:r w:rsidRPr="00D127FD">
        <w:rPr>
          <w:rFonts w:eastAsia="Times New Roman" w:cs="Arial"/>
        </w:rPr>
        <w:t>, the product increased by a larger margin.</w:t>
      </w:r>
      <w:r w:rsidRPr="00D127FD">
        <w:t xml:space="preserve"> </w:t>
      </w:r>
      <w:r>
        <w:t>T</w:t>
      </w:r>
      <w:r w:rsidR="00DA2CC6">
        <w:t>he table</w:t>
      </w:r>
      <w:r>
        <w:t xml:space="preserve"> shows availability of antidiarrheals.</w:t>
      </w:r>
    </w:p>
    <w:p w:rsidR="000060DA" w:rsidRPr="00D127FD" w:rsidRDefault="000060DA" w:rsidP="000060DA">
      <w:pPr>
        <w:pStyle w:val="Default"/>
        <w:contextualSpacing/>
        <w:jc w:val="both"/>
        <w:rPr>
          <w:rFonts w:asciiTheme="minorHAnsi" w:hAnsiTheme="minorHAnsi"/>
          <w:b/>
          <w:sz w:val="22"/>
          <w:szCs w:val="22"/>
        </w:rPr>
      </w:pPr>
    </w:p>
    <w:p w:rsidR="000060DA" w:rsidRPr="000060DA" w:rsidRDefault="000060DA" w:rsidP="000060DA">
      <w:pPr>
        <w:keepNext/>
        <w:spacing w:after="0" w:line="240" w:lineRule="auto"/>
        <w:ind w:left="720"/>
        <w:jc w:val="center"/>
        <w:outlineLvl w:val="0"/>
        <w:rPr>
          <w:rFonts w:ascii="Calibri" w:eastAsia="Times New Roman" w:hAnsi="Calibri" w:cs="Arial"/>
          <w:b/>
          <w:color w:val="984806" w:themeColor="accent6" w:themeShade="80"/>
          <w:sz w:val="24"/>
        </w:rPr>
      </w:pPr>
      <w:r w:rsidRPr="000060DA">
        <w:rPr>
          <w:rFonts w:ascii="Calibri" w:eastAsia="Times New Roman" w:hAnsi="Calibri" w:cs="Arial"/>
          <w:b/>
          <w:color w:val="984806" w:themeColor="accent6" w:themeShade="80"/>
          <w:sz w:val="24"/>
        </w:rPr>
        <w:t>Percentage of Unaccredited Drug Shops and ADDOs with Antidiarrheals Available at Baseline and Endline</w:t>
      </w:r>
    </w:p>
    <w:p w:rsidR="000060DA" w:rsidRPr="000060DA" w:rsidRDefault="000060DA" w:rsidP="000060DA">
      <w:pPr>
        <w:keepNext/>
        <w:spacing w:after="0" w:line="240" w:lineRule="auto"/>
        <w:ind w:left="720"/>
        <w:jc w:val="center"/>
        <w:outlineLvl w:val="0"/>
        <w:rPr>
          <w:rFonts w:ascii="Calibri" w:eastAsia="Times New Roman" w:hAnsi="Calibri" w:cs="Arial"/>
        </w:rPr>
      </w:pPr>
      <w:r w:rsidRPr="000060DA">
        <w:rPr>
          <w:rFonts w:ascii="Calibri" w:eastAsia="Times New Roman" w:hAnsi="Calibri" w:cs="Arial"/>
          <w:noProof/>
        </w:rPr>
        <w:drawing>
          <wp:inline distT="0" distB="0" distL="0" distR="0" wp14:anchorId="08A5C91D" wp14:editId="5B21107C">
            <wp:extent cx="5943600" cy="327533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08AA" w:rsidRDefault="008208AA" w:rsidP="008208AA">
      <w:pPr>
        <w:spacing w:after="0" w:line="240" w:lineRule="auto"/>
        <w:outlineLvl w:val="0"/>
        <w:rPr>
          <w:rFonts w:ascii="Calibri" w:eastAsia="Times New Roman" w:hAnsi="Calibri" w:cs="Times New Roman"/>
          <w:i/>
          <w:color w:val="993300"/>
        </w:rPr>
      </w:pPr>
    </w:p>
    <w:p w:rsidR="00DA2CC6" w:rsidRDefault="00DA2CC6" w:rsidP="008208AA">
      <w:pPr>
        <w:spacing w:after="0" w:line="240" w:lineRule="auto"/>
        <w:outlineLvl w:val="0"/>
        <w:rPr>
          <w:rFonts w:ascii="Calibri" w:eastAsia="Times New Roman" w:hAnsi="Calibri" w:cs="Times New Roman"/>
          <w:i/>
          <w:color w:val="993300"/>
        </w:rPr>
      </w:pPr>
    </w:p>
    <w:p w:rsidR="00DA2CC6" w:rsidRDefault="00DA2CC6" w:rsidP="008208AA">
      <w:pPr>
        <w:spacing w:after="0" w:line="240" w:lineRule="auto"/>
        <w:outlineLvl w:val="0"/>
        <w:rPr>
          <w:rFonts w:ascii="Calibri" w:eastAsia="Times New Roman" w:hAnsi="Calibri" w:cs="Times New Roman"/>
          <w:i/>
          <w:color w:val="993300"/>
        </w:rPr>
      </w:pPr>
    </w:p>
    <w:tbl>
      <w:tblPr>
        <w:tblStyle w:val="LightGrid-Accent6"/>
        <w:tblpPr w:leftFromText="180" w:rightFromText="180" w:vertAnchor="text" w:horzAnchor="margin" w:tblpY="448"/>
        <w:tblW w:w="5000" w:type="pct"/>
        <w:tblLook w:val="04A0" w:firstRow="1" w:lastRow="0" w:firstColumn="1" w:lastColumn="0" w:noHBand="0" w:noVBand="1"/>
      </w:tblPr>
      <w:tblGrid>
        <w:gridCol w:w="885"/>
        <w:gridCol w:w="817"/>
        <w:gridCol w:w="817"/>
        <w:gridCol w:w="743"/>
        <w:gridCol w:w="743"/>
        <w:gridCol w:w="1213"/>
        <w:gridCol w:w="1594"/>
        <w:gridCol w:w="1885"/>
        <w:gridCol w:w="879"/>
      </w:tblGrid>
      <w:tr w:rsidR="008208AA" w:rsidRPr="00ED088D" w:rsidTr="008208A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95" w:type="pct"/>
          </w:tcPr>
          <w:p w:rsidR="008208AA" w:rsidRPr="001E07D4" w:rsidRDefault="008208AA" w:rsidP="00201275">
            <w:pPr>
              <w:contextualSpacing/>
              <w:rPr>
                <w:rFonts w:asciiTheme="minorHAnsi" w:eastAsia="Times New Roman" w:hAnsiTheme="minorHAnsi" w:cstheme="minorHAnsi"/>
                <w:sz w:val="20"/>
                <w:szCs w:val="20"/>
              </w:rPr>
            </w:pPr>
            <w:r w:rsidRPr="001E07D4">
              <w:rPr>
                <w:rFonts w:asciiTheme="minorHAnsi" w:eastAsia="Times New Roman" w:hAnsiTheme="minorHAnsi" w:cstheme="minorHAnsi"/>
                <w:sz w:val="20"/>
                <w:szCs w:val="20"/>
              </w:rPr>
              <w:t>Tracer drug</w:t>
            </w:r>
          </w:p>
          <w:p w:rsidR="008208AA" w:rsidRPr="001E07D4" w:rsidRDefault="008208AA" w:rsidP="00201275">
            <w:pPr>
              <w:spacing w:line="276" w:lineRule="auto"/>
              <w:contextualSpacing/>
              <w:rPr>
                <w:rFonts w:asciiTheme="minorHAnsi" w:eastAsia="Times New Roman" w:hAnsiTheme="minorHAnsi" w:cstheme="minorHAnsi"/>
                <w:sz w:val="20"/>
                <w:szCs w:val="20"/>
              </w:rPr>
            </w:pPr>
          </w:p>
        </w:tc>
        <w:tc>
          <w:tcPr>
            <w:tcW w:w="394"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Singida</w:t>
            </w:r>
          </w:p>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Pre # (%)</w:t>
            </w:r>
          </w:p>
        </w:tc>
        <w:tc>
          <w:tcPr>
            <w:tcW w:w="407"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Singida</w:t>
            </w:r>
          </w:p>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Post # (%)</w:t>
            </w:r>
          </w:p>
        </w:tc>
        <w:tc>
          <w:tcPr>
            <w:tcW w:w="372"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Mara</w:t>
            </w:r>
          </w:p>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Pre # (%)</w:t>
            </w:r>
          </w:p>
        </w:tc>
        <w:tc>
          <w:tcPr>
            <w:tcW w:w="386"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Mara</w:t>
            </w:r>
          </w:p>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Post # (%)</w:t>
            </w:r>
          </w:p>
        </w:tc>
        <w:tc>
          <w:tcPr>
            <w:tcW w:w="653"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 xml:space="preserve">Singida difference </w:t>
            </w:r>
          </w:p>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(percentage points)</w:t>
            </w:r>
          </w:p>
        </w:tc>
        <w:tc>
          <w:tcPr>
            <w:tcW w:w="878"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Mara difference (percentage points)</w:t>
            </w:r>
          </w:p>
        </w:tc>
        <w:tc>
          <w:tcPr>
            <w:tcW w:w="1017"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Between-group difference (percentage points)</w:t>
            </w:r>
          </w:p>
        </w:tc>
        <w:tc>
          <w:tcPr>
            <w:tcW w:w="399" w:type="pct"/>
          </w:tcPr>
          <w:p w:rsidR="008208AA" w:rsidRPr="00E84FAB" w:rsidRDefault="008208AA" w:rsidP="00201275">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84FAB">
              <w:rPr>
                <w:rFonts w:asciiTheme="minorHAnsi" w:eastAsia="Times New Roman" w:hAnsiTheme="minorHAnsi" w:cstheme="minorHAnsi"/>
                <w:sz w:val="20"/>
                <w:szCs w:val="20"/>
              </w:rPr>
              <w:t>P-Value</w:t>
            </w:r>
          </w:p>
        </w:tc>
      </w:tr>
      <w:tr w:rsidR="008208AA" w:rsidRPr="001E07D4" w:rsidTr="008208A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95" w:type="pct"/>
          </w:tcPr>
          <w:p w:rsidR="008208AA" w:rsidRPr="001E07D4" w:rsidRDefault="008208AA" w:rsidP="00201275">
            <w:pPr>
              <w:spacing w:line="276" w:lineRule="auto"/>
              <w:contextualSpacing/>
              <w:rPr>
                <w:rFonts w:asciiTheme="minorHAnsi" w:eastAsia="Times New Roman" w:hAnsiTheme="minorHAnsi" w:cstheme="minorHAnsi"/>
                <w:b w:val="0"/>
                <w:bCs w:val="0"/>
                <w:color w:val="404040" w:themeColor="text1" w:themeTint="BF"/>
                <w:sz w:val="20"/>
                <w:szCs w:val="20"/>
              </w:rPr>
            </w:pPr>
            <w:r w:rsidRPr="001E07D4">
              <w:rPr>
                <w:rFonts w:asciiTheme="minorHAnsi" w:eastAsia="Times New Roman" w:hAnsiTheme="minorHAnsi" w:cstheme="minorHAnsi"/>
                <w:b w:val="0"/>
                <w:sz w:val="20"/>
                <w:szCs w:val="20"/>
              </w:rPr>
              <w:t>ORS</w:t>
            </w:r>
          </w:p>
        </w:tc>
        <w:tc>
          <w:tcPr>
            <w:tcW w:w="394" w:type="pct"/>
          </w:tcPr>
          <w:p w:rsidR="008208AA" w:rsidRPr="001E07D4" w:rsidRDefault="008208AA" w:rsidP="0020127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07D4">
              <w:rPr>
                <w:rFonts w:eastAsia="Times New Roman" w:cstheme="minorHAnsi"/>
                <w:color w:val="000000"/>
                <w:sz w:val="20"/>
                <w:szCs w:val="20"/>
              </w:rPr>
              <w:t>23(72)</w:t>
            </w:r>
          </w:p>
        </w:tc>
        <w:tc>
          <w:tcPr>
            <w:tcW w:w="407" w:type="pct"/>
          </w:tcPr>
          <w:p w:rsidR="008208AA" w:rsidRPr="001E07D4" w:rsidRDefault="008208AA" w:rsidP="0020127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24(83</w:t>
            </w:r>
            <w:r w:rsidRPr="001E07D4">
              <w:rPr>
                <w:rFonts w:cstheme="minorHAnsi"/>
                <w:color w:val="000000"/>
                <w:sz w:val="20"/>
                <w:szCs w:val="20"/>
              </w:rPr>
              <w:t>)</w:t>
            </w:r>
          </w:p>
        </w:tc>
        <w:tc>
          <w:tcPr>
            <w:tcW w:w="372" w:type="pct"/>
          </w:tcPr>
          <w:p w:rsidR="008208AA" w:rsidRPr="001E07D4" w:rsidRDefault="008208AA" w:rsidP="00201275">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07D4">
              <w:rPr>
                <w:rFonts w:eastAsia="Times New Roman" w:cstheme="minorHAnsi"/>
                <w:color w:val="000000"/>
                <w:sz w:val="20"/>
                <w:szCs w:val="20"/>
              </w:rPr>
              <w:t>23(70)</w:t>
            </w:r>
          </w:p>
        </w:tc>
        <w:tc>
          <w:tcPr>
            <w:tcW w:w="386" w:type="pct"/>
          </w:tcPr>
          <w:p w:rsidR="008208AA" w:rsidRPr="001E07D4" w:rsidRDefault="008208AA" w:rsidP="0020127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22(70</w:t>
            </w:r>
            <w:r w:rsidRPr="001E07D4">
              <w:rPr>
                <w:rFonts w:cstheme="minorHAnsi"/>
                <w:color w:val="000000"/>
                <w:sz w:val="20"/>
                <w:szCs w:val="20"/>
              </w:rPr>
              <w:t>)</w:t>
            </w:r>
          </w:p>
        </w:tc>
        <w:tc>
          <w:tcPr>
            <w:tcW w:w="653" w:type="pct"/>
          </w:tcPr>
          <w:p w:rsidR="008208AA" w:rsidRPr="001E07D4" w:rsidRDefault="008208AA" w:rsidP="002012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11</w:t>
            </w:r>
          </w:p>
        </w:tc>
        <w:tc>
          <w:tcPr>
            <w:tcW w:w="878" w:type="pct"/>
          </w:tcPr>
          <w:p w:rsidR="008208AA" w:rsidRPr="001E07D4" w:rsidRDefault="008208AA" w:rsidP="002012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0</w:t>
            </w:r>
          </w:p>
        </w:tc>
        <w:tc>
          <w:tcPr>
            <w:tcW w:w="1017" w:type="pct"/>
          </w:tcPr>
          <w:p w:rsidR="008208AA" w:rsidRPr="001E07D4" w:rsidRDefault="008208AA" w:rsidP="002012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11</w:t>
            </w:r>
          </w:p>
        </w:tc>
        <w:tc>
          <w:tcPr>
            <w:tcW w:w="399" w:type="pct"/>
          </w:tcPr>
          <w:p w:rsidR="008208AA" w:rsidRPr="001E07D4" w:rsidRDefault="008208AA" w:rsidP="0020127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20"/>
                <w:szCs w:val="20"/>
              </w:rPr>
            </w:pPr>
            <w:r w:rsidRPr="001E07D4">
              <w:rPr>
                <w:rFonts w:eastAsia="Times New Roman" w:cstheme="minorHAnsi"/>
                <w:bCs/>
                <w:i/>
                <w:sz w:val="20"/>
                <w:szCs w:val="20"/>
              </w:rPr>
              <w:t>p=0.204</w:t>
            </w:r>
          </w:p>
        </w:tc>
      </w:tr>
      <w:tr w:rsidR="008208AA" w:rsidRPr="001E07D4" w:rsidTr="008208AA">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95" w:type="pct"/>
          </w:tcPr>
          <w:p w:rsidR="008208AA" w:rsidRPr="001E07D4" w:rsidRDefault="008208AA" w:rsidP="00201275">
            <w:pPr>
              <w:spacing w:line="276" w:lineRule="auto"/>
              <w:contextualSpacing/>
              <w:rPr>
                <w:rFonts w:asciiTheme="minorHAnsi" w:eastAsia="Times New Roman" w:hAnsiTheme="minorHAnsi" w:cstheme="minorHAnsi"/>
                <w:b w:val="0"/>
                <w:bCs w:val="0"/>
                <w:color w:val="404040" w:themeColor="text1" w:themeTint="BF"/>
                <w:sz w:val="20"/>
                <w:szCs w:val="20"/>
              </w:rPr>
            </w:pPr>
            <w:r w:rsidRPr="001E07D4">
              <w:rPr>
                <w:rFonts w:asciiTheme="minorHAnsi" w:eastAsia="Times New Roman" w:hAnsiTheme="minorHAnsi" w:cstheme="minorHAnsi"/>
                <w:b w:val="0"/>
                <w:sz w:val="20"/>
                <w:szCs w:val="20"/>
              </w:rPr>
              <w:t>Zinc tablets</w:t>
            </w:r>
            <w:r>
              <w:rPr>
                <w:rFonts w:asciiTheme="minorHAnsi" w:eastAsia="Times New Roman" w:hAnsiTheme="minorHAnsi" w:cstheme="minorHAnsi"/>
                <w:b w:val="0"/>
                <w:sz w:val="20"/>
                <w:szCs w:val="20"/>
              </w:rPr>
              <w:t xml:space="preserve"> 20mg</w:t>
            </w:r>
          </w:p>
        </w:tc>
        <w:tc>
          <w:tcPr>
            <w:tcW w:w="394" w:type="pct"/>
          </w:tcPr>
          <w:p w:rsidR="008208AA" w:rsidRPr="001E07D4" w:rsidRDefault="008208AA" w:rsidP="00201275">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1E07D4">
              <w:rPr>
                <w:rFonts w:eastAsia="Times New Roman" w:cstheme="minorHAnsi"/>
                <w:color w:val="000000"/>
                <w:sz w:val="20"/>
                <w:szCs w:val="20"/>
              </w:rPr>
              <w:t>0</w:t>
            </w:r>
          </w:p>
        </w:tc>
        <w:tc>
          <w:tcPr>
            <w:tcW w:w="407" w:type="pct"/>
          </w:tcPr>
          <w:p w:rsidR="008208AA" w:rsidRPr="001E07D4" w:rsidRDefault="008208AA" w:rsidP="00201275">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1E07D4">
              <w:rPr>
                <w:rFonts w:cstheme="minorHAnsi"/>
                <w:color w:val="000000"/>
                <w:sz w:val="20"/>
                <w:szCs w:val="20"/>
              </w:rPr>
              <w:t>8(28)</w:t>
            </w:r>
          </w:p>
        </w:tc>
        <w:tc>
          <w:tcPr>
            <w:tcW w:w="372" w:type="pct"/>
          </w:tcPr>
          <w:p w:rsidR="008208AA" w:rsidRPr="001E07D4" w:rsidRDefault="008208AA" w:rsidP="00201275">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1E07D4">
              <w:rPr>
                <w:rFonts w:eastAsia="Times New Roman" w:cstheme="minorHAnsi"/>
                <w:color w:val="000000"/>
                <w:sz w:val="20"/>
                <w:szCs w:val="20"/>
              </w:rPr>
              <w:t>3(9)</w:t>
            </w:r>
          </w:p>
        </w:tc>
        <w:tc>
          <w:tcPr>
            <w:tcW w:w="386" w:type="pct"/>
          </w:tcPr>
          <w:p w:rsidR="008208AA" w:rsidRPr="001E07D4" w:rsidRDefault="008208AA" w:rsidP="00201275">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17(52</w:t>
            </w:r>
            <w:r w:rsidRPr="001E07D4">
              <w:rPr>
                <w:rFonts w:cstheme="minorHAnsi"/>
                <w:color w:val="000000"/>
                <w:sz w:val="20"/>
                <w:szCs w:val="20"/>
              </w:rPr>
              <w:t>)</w:t>
            </w:r>
          </w:p>
        </w:tc>
        <w:tc>
          <w:tcPr>
            <w:tcW w:w="653" w:type="pct"/>
          </w:tcPr>
          <w:p w:rsidR="008208AA" w:rsidRPr="001E07D4" w:rsidRDefault="008208AA" w:rsidP="00201275">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28</w:t>
            </w:r>
          </w:p>
        </w:tc>
        <w:tc>
          <w:tcPr>
            <w:tcW w:w="878" w:type="pct"/>
          </w:tcPr>
          <w:p w:rsidR="008208AA" w:rsidRPr="001E07D4" w:rsidRDefault="008208AA" w:rsidP="00201275">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43</w:t>
            </w:r>
          </w:p>
        </w:tc>
        <w:tc>
          <w:tcPr>
            <w:tcW w:w="1017" w:type="pct"/>
          </w:tcPr>
          <w:p w:rsidR="008208AA" w:rsidRPr="001E07D4" w:rsidRDefault="008208AA" w:rsidP="00201275">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–15</w:t>
            </w:r>
          </w:p>
        </w:tc>
        <w:tc>
          <w:tcPr>
            <w:tcW w:w="399" w:type="pct"/>
          </w:tcPr>
          <w:p w:rsidR="008208AA" w:rsidRPr="002734D3" w:rsidRDefault="008208AA" w:rsidP="00201275">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i/>
                <w:sz w:val="20"/>
                <w:szCs w:val="20"/>
              </w:rPr>
            </w:pPr>
            <w:r w:rsidRPr="002734D3">
              <w:rPr>
                <w:rFonts w:eastAsia="Times New Roman" w:cstheme="minorHAnsi"/>
                <w:b/>
                <w:bCs/>
                <w:i/>
                <w:sz w:val="20"/>
                <w:szCs w:val="20"/>
              </w:rPr>
              <w:t>p&lt;0.05*</w:t>
            </w:r>
          </w:p>
        </w:tc>
      </w:tr>
    </w:tbl>
    <w:p w:rsidR="008208AA" w:rsidRPr="008208AA" w:rsidRDefault="008208AA" w:rsidP="008208AA">
      <w:pPr>
        <w:pStyle w:val="H30"/>
        <w:rPr>
          <w:i w:val="0"/>
          <w:color w:val="984806" w:themeColor="accent6" w:themeShade="80"/>
        </w:rPr>
      </w:pPr>
      <w:bookmarkStart w:id="1" w:name="_Toc310238978"/>
      <w:bookmarkStart w:id="2" w:name="_Toc310350243"/>
      <w:bookmarkStart w:id="3" w:name="_Toc310350310"/>
      <w:bookmarkStart w:id="4" w:name="_Toc310350377"/>
      <w:r w:rsidRPr="008208AA">
        <w:rPr>
          <w:i w:val="0"/>
          <w:color w:val="984806" w:themeColor="accent6" w:themeShade="80"/>
        </w:rPr>
        <w:t>Table 3: Availability of antidiarrheal medicines in Singida and Mara before and after ADDO rollout</w:t>
      </w:r>
      <w:bookmarkEnd w:id="1"/>
      <w:bookmarkEnd w:id="2"/>
      <w:bookmarkEnd w:id="3"/>
      <w:bookmarkEnd w:id="4"/>
    </w:p>
    <w:p w:rsidR="008208AA" w:rsidRPr="002734D3" w:rsidRDefault="008208AA" w:rsidP="008208AA">
      <w:pPr>
        <w:pStyle w:val="H30"/>
        <w:rPr>
          <w:i w:val="0"/>
        </w:rPr>
      </w:pPr>
      <w:bookmarkStart w:id="5" w:name="_Toc310238979"/>
      <w:bookmarkStart w:id="6" w:name="_Toc310350244"/>
      <w:bookmarkStart w:id="7" w:name="_Toc310350311"/>
      <w:bookmarkStart w:id="8" w:name="_Toc310350378"/>
      <w:r w:rsidRPr="002734D3">
        <w:rPr>
          <w:rFonts w:eastAsia="Times New Roman" w:cstheme="minorHAnsi"/>
          <w:b w:val="0"/>
          <w:i w:val="0"/>
          <w:sz w:val="20"/>
          <w:szCs w:val="20"/>
        </w:rPr>
        <w:t>*Difference between regions was statistically significant.</w:t>
      </w:r>
      <w:bookmarkEnd w:id="5"/>
      <w:bookmarkEnd w:id="6"/>
      <w:bookmarkEnd w:id="7"/>
      <w:bookmarkEnd w:id="8"/>
    </w:p>
    <w:p w:rsidR="008208AA" w:rsidRDefault="008208AA" w:rsidP="008208AA">
      <w:pPr>
        <w:spacing w:after="0" w:line="240" w:lineRule="auto"/>
        <w:outlineLvl w:val="0"/>
        <w:rPr>
          <w:rFonts w:ascii="Calibri" w:eastAsia="Times New Roman" w:hAnsi="Calibri" w:cs="Times New Roman"/>
          <w:i/>
          <w:color w:val="993300"/>
        </w:rPr>
      </w:pPr>
    </w:p>
    <w:p w:rsidR="000060DA" w:rsidRPr="000060DA" w:rsidRDefault="000060DA" w:rsidP="000060DA">
      <w:pPr>
        <w:spacing w:after="0" w:line="360" w:lineRule="auto"/>
        <w:rPr>
          <w:b/>
          <w:i/>
          <w:color w:val="984806" w:themeColor="accent6" w:themeShade="80"/>
        </w:rPr>
      </w:pPr>
      <w:bookmarkStart w:id="9" w:name="_Toc310350382"/>
      <w:r w:rsidRPr="000060DA">
        <w:rPr>
          <w:b/>
          <w:i/>
          <w:color w:val="984806" w:themeColor="accent6" w:themeShade="80"/>
        </w:rPr>
        <w:t>Management of nonbloody diarrhea</w:t>
      </w:r>
      <w:bookmarkEnd w:id="9"/>
    </w:p>
    <w:p w:rsidR="000060DA" w:rsidRPr="000060DA" w:rsidRDefault="008208AA" w:rsidP="000060DA">
      <w:pPr>
        <w:spacing w:after="0" w:line="240" w:lineRule="auto"/>
        <w:rPr>
          <w:rFonts w:eastAsia="Times New Roman"/>
        </w:rPr>
      </w:pPr>
      <w:r w:rsidRPr="000060DA">
        <w:rPr>
          <w:rFonts w:ascii="Calibri" w:eastAsia="Times New Roman" w:hAnsi="Calibri" w:cs="Arial"/>
        </w:rPr>
        <w:t xml:space="preserve">The use of ORS and zinc is the recommended treatment for diarrhea. </w:t>
      </w:r>
      <w:r w:rsidR="000060DA" w:rsidRPr="000060DA">
        <w:rPr>
          <w:rFonts w:eastAsia="Times New Roman"/>
        </w:rPr>
        <w:t xml:space="preserve">Overall, the mystery shopper exercise showed that the management of nonbloody diarrhea improved in Singida. For example, the dispensing of antibiotics for nonbloody diarrhea decreased by 23% (98% baseline to 76% at end line) while in Mara, the control district, it remained relatively unchanged (84% baseline to 87% endline). The use of ORS increased from 20% to 33% in Singida, while Mara recorded a marginal difference pre and post intervention. There was no significant increase in the regions in the use of zinc, another recommended product for nonbloody diarrhea. This came as a surprising result for Mara, which had an intervention to promote the use of zinc running concurrently with the ADDO program.  Although not statistically significant, these results show that although the management of nonbloody diarrhea improved marginally in the intervention district, practices still fall far short of the expected standard of care. Further intervention in this area is necessary. </w:t>
      </w:r>
    </w:p>
    <w:p w:rsidR="000060DA" w:rsidRPr="000060DA" w:rsidRDefault="000060DA" w:rsidP="000060DA">
      <w:pPr>
        <w:spacing w:after="0" w:line="240" w:lineRule="auto"/>
        <w:rPr>
          <w:b/>
        </w:rPr>
      </w:pPr>
      <w:r w:rsidRPr="000060DA">
        <w:rPr>
          <w:b/>
          <w:noProof/>
        </w:rPr>
        <w:drawing>
          <wp:inline distT="0" distB="0" distL="0" distR="0" wp14:anchorId="3CE4402F" wp14:editId="1B7F0D63">
            <wp:extent cx="6008675" cy="2713634"/>
            <wp:effectExtent l="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60DA" w:rsidRPr="000060DA" w:rsidRDefault="000060DA" w:rsidP="000060DA">
      <w:pPr>
        <w:keepNext/>
        <w:spacing w:after="0" w:line="360" w:lineRule="auto"/>
        <w:rPr>
          <w:b/>
          <w:i/>
          <w:color w:val="984806" w:themeColor="accent6" w:themeShade="80"/>
        </w:rPr>
      </w:pPr>
      <w:bookmarkStart w:id="10" w:name="_Toc310350383"/>
      <w:r w:rsidRPr="000060DA">
        <w:rPr>
          <w:b/>
          <w:i/>
          <w:color w:val="984806" w:themeColor="accent6" w:themeShade="80"/>
        </w:rPr>
        <w:t>Quality of dispensing services</w:t>
      </w:r>
      <w:bookmarkEnd w:id="10"/>
    </w:p>
    <w:p w:rsidR="000060DA" w:rsidRPr="00D127FD" w:rsidRDefault="000060DA" w:rsidP="000060DA">
      <w:pPr>
        <w:pStyle w:val="NoSpacing"/>
      </w:pPr>
      <w:r w:rsidRPr="000060DA">
        <w:t>Singida showed some significant improvements in the quality of dispensing for both malaria and diarrhea compared to Mara.</w:t>
      </w:r>
      <w:r>
        <w:t xml:space="preserve"> </w:t>
      </w:r>
      <w:r>
        <w:t>Similarly, for non</w:t>
      </w:r>
      <w:r w:rsidRPr="00D127FD">
        <w:t>bloody diarrhea, there was statistically significant</w:t>
      </w:r>
      <w:r>
        <w:t xml:space="preserve"> </w:t>
      </w:r>
      <w:r>
        <w:lastRenderedPageBreak/>
        <w:t>improvement</w:t>
      </w:r>
      <w:r w:rsidRPr="00D127FD">
        <w:t xml:space="preserve"> in Singida for giving instructions on how to take the medications and giving information on how to look for danger signs. Other indicators </w:t>
      </w:r>
      <w:r>
        <w:t>measuring</w:t>
      </w:r>
      <w:r w:rsidRPr="00D127FD">
        <w:t xml:space="preserve"> dispensing services </w:t>
      </w:r>
      <w:r w:rsidR="008208AA">
        <w:t>showed no or minor improvement.</w:t>
      </w:r>
    </w:p>
    <w:p w:rsidR="000060DA" w:rsidRPr="00D127FD" w:rsidRDefault="000060DA" w:rsidP="000060DA">
      <w:pPr>
        <w:pStyle w:val="Default"/>
        <w:contextualSpacing/>
        <w:jc w:val="both"/>
        <w:rPr>
          <w:rFonts w:asciiTheme="minorHAnsi" w:hAnsiTheme="minorHAnsi"/>
          <w:sz w:val="22"/>
          <w:szCs w:val="22"/>
        </w:rPr>
      </w:pPr>
    </w:p>
    <w:p w:rsidR="000060DA" w:rsidRPr="008208AA" w:rsidRDefault="000060DA" w:rsidP="000060DA">
      <w:pPr>
        <w:pStyle w:val="Default"/>
        <w:keepNext/>
        <w:spacing w:after="120"/>
        <w:contextualSpacing/>
        <w:jc w:val="both"/>
        <w:rPr>
          <w:rFonts w:asciiTheme="minorHAnsi" w:hAnsiTheme="minorHAnsi"/>
          <w:b/>
          <w:color w:val="984806" w:themeColor="accent6" w:themeShade="80"/>
          <w:sz w:val="22"/>
          <w:szCs w:val="22"/>
        </w:rPr>
      </w:pPr>
      <w:r w:rsidRPr="008208AA">
        <w:rPr>
          <w:rFonts w:asciiTheme="minorHAnsi" w:hAnsiTheme="minorHAnsi"/>
          <w:b/>
          <w:color w:val="984806" w:themeColor="accent6" w:themeShade="80"/>
          <w:sz w:val="22"/>
          <w:szCs w:val="22"/>
        </w:rPr>
        <w:t xml:space="preserve">Quality of dispensing services Singida vs. Mara—nonbloody diarrhea </w:t>
      </w:r>
    </w:p>
    <w:tbl>
      <w:tblPr>
        <w:tblStyle w:val="LightGrid-Accent6"/>
        <w:tblW w:w="5000" w:type="pct"/>
        <w:tblLook w:val="04A0" w:firstRow="1" w:lastRow="0" w:firstColumn="1" w:lastColumn="0" w:noHBand="0" w:noVBand="1"/>
      </w:tblPr>
      <w:tblGrid>
        <w:gridCol w:w="1937"/>
        <w:gridCol w:w="817"/>
        <w:gridCol w:w="817"/>
        <w:gridCol w:w="743"/>
        <w:gridCol w:w="743"/>
        <w:gridCol w:w="1213"/>
        <w:gridCol w:w="1213"/>
        <w:gridCol w:w="1213"/>
        <w:gridCol w:w="880"/>
      </w:tblGrid>
      <w:tr w:rsidR="000060DA" w:rsidRPr="00730D22" w:rsidTr="008208AA">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contextualSpacing/>
              <w:rPr>
                <w:rFonts w:asciiTheme="minorHAnsi" w:eastAsia="Times New Roman" w:hAnsiTheme="minorHAnsi" w:cstheme="minorHAnsi"/>
                <w:sz w:val="20"/>
                <w:szCs w:val="20"/>
              </w:rPr>
            </w:pPr>
          </w:p>
          <w:p w:rsidR="000060DA" w:rsidRPr="00730D22" w:rsidRDefault="000060DA" w:rsidP="00201275">
            <w:pPr>
              <w:keepNext/>
              <w:contextualSpacing/>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Indicator</w:t>
            </w:r>
          </w:p>
        </w:tc>
        <w:tc>
          <w:tcPr>
            <w:tcW w:w="420" w:type="pct"/>
          </w:tcPr>
          <w:p w:rsidR="000060DA" w:rsidRPr="00730D22" w:rsidRDefault="000060DA" w:rsidP="00201275">
            <w:pPr>
              <w:keepNext/>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20"/>
                <w:szCs w:val="20"/>
              </w:rPr>
            </w:pPr>
            <w:r w:rsidRPr="00730D22">
              <w:rPr>
                <w:rFonts w:asciiTheme="minorHAnsi" w:eastAsia="Times New Roman" w:hAnsiTheme="minorHAnsi" w:cstheme="minorHAnsi"/>
                <w:bCs w:val="0"/>
                <w:sz w:val="20"/>
                <w:szCs w:val="20"/>
              </w:rPr>
              <w:t>Singida Pre</w:t>
            </w:r>
          </w:p>
          <w:p w:rsidR="000060DA" w:rsidRPr="00730D22" w:rsidRDefault="000060DA" w:rsidP="00201275">
            <w:pPr>
              <w:keepNext/>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20"/>
                <w:szCs w:val="20"/>
              </w:rPr>
            </w:pPr>
            <w:r w:rsidRPr="00730D22">
              <w:rPr>
                <w:rFonts w:asciiTheme="minorHAnsi" w:eastAsia="Times New Roman" w:hAnsiTheme="minorHAnsi" w:cstheme="minorHAnsi"/>
                <w:bCs w:val="0"/>
                <w:sz w:val="20"/>
                <w:szCs w:val="20"/>
              </w:rPr>
              <w:t>#(%)</w:t>
            </w:r>
          </w:p>
        </w:tc>
        <w:tc>
          <w:tcPr>
            <w:tcW w:w="427" w:type="pct"/>
          </w:tcPr>
          <w:p w:rsidR="000060DA" w:rsidRPr="00730D22" w:rsidRDefault="000060DA" w:rsidP="00201275">
            <w:pPr>
              <w:keepNext/>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Singida Post</w:t>
            </w:r>
          </w:p>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 (%)</w:t>
            </w:r>
          </w:p>
        </w:tc>
        <w:tc>
          <w:tcPr>
            <w:tcW w:w="375" w:type="pct"/>
          </w:tcPr>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20"/>
                <w:szCs w:val="20"/>
              </w:rPr>
            </w:pPr>
            <w:r w:rsidRPr="00730D22">
              <w:rPr>
                <w:rFonts w:asciiTheme="minorHAnsi" w:eastAsia="Times New Roman" w:hAnsiTheme="minorHAnsi" w:cstheme="minorHAnsi"/>
                <w:sz w:val="20"/>
                <w:szCs w:val="20"/>
              </w:rPr>
              <w:t>Mara Pre</w:t>
            </w:r>
          </w:p>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20"/>
                <w:szCs w:val="20"/>
              </w:rPr>
            </w:pPr>
            <w:r w:rsidRPr="00730D22">
              <w:rPr>
                <w:rFonts w:asciiTheme="minorHAnsi" w:eastAsia="Times New Roman" w:hAnsiTheme="minorHAnsi" w:cstheme="minorHAnsi"/>
                <w:sz w:val="20"/>
                <w:szCs w:val="20"/>
              </w:rPr>
              <w:t># (%)</w:t>
            </w:r>
          </w:p>
        </w:tc>
        <w:tc>
          <w:tcPr>
            <w:tcW w:w="383" w:type="pct"/>
          </w:tcPr>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Mara Post</w:t>
            </w:r>
          </w:p>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 (%)</w:t>
            </w:r>
          </w:p>
        </w:tc>
        <w:tc>
          <w:tcPr>
            <w:tcW w:w="599" w:type="pct"/>
          </w:tcPr>
          <w:p w:rsidR="000060DA" w:rsidRPr="005914CF"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 xml:space="preserve">Singida difference </w:t>
            </w:r>
            <w:r w:rsidRPr="001E025F">
              <w:rPr>
                <w:rFonts w:asciiTheme="minorHAnsi" w:eastAsia="Times New Roman" w:hAnsiTheme="minorHAnsi" w:cstheme="minorHAnsi"/>
                <w:sz w:val="20"/>
                <w:szCs w:val="20"/>
              </w:rPr>
              <w:t>(percentage points)</w:t>
            </w:r>
          </w:p>
        </w:tc>
        <w:tc>
          <w:tcPr>
            <w:tcW w:w="584" w:type="pct"/>
          </w:tcPr>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 xml:space="preserve">Mara difference </w:t>
            </w:r>
            <w:r w:rsidRPr="001E025F">
              <w:rPr>
                <w:rFonts w:asciiTheme="minorHAnsi" w:eastAsia="Times New Roman" w:hAnsiTheme="minorHAnsi" w:cstheme="minorHAnsi"/>
                <w:sz w:val="20"/>
                <w:szCs w:val="20"/>
              </w:rPr>
              <w:t>(percentage points)</w:t>
            </w:r>
          </w:p>
        </w:tc>
        <w:tc>
          <w:tcPr>
            <w:tcW w:w="631" w:type="pct"/>
          </w:tcPr>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Between-group difference</w:t>
            </w:r>
            <w:r>
              <w:rPr>
                <w:rFonts w:asciiTheme="minorHAnsi" w:eastAsia="Times New Roman" w:hAnsiTheme="minorHAnsi" w:cstheme="minorHAnsi"/>
                <w:sz w:val="20"/>
                <w:szCs w:val="20"/>
              </w:rPr>
              <w:t xml:space="preserve"> </w:t>
            </w:r>
            <w:r w:rsidRPr="001E025F">
              <w:rPr>
                <w:rFonts w:asciiTheme="minorHAnsi" w:eastAsia="Times New Roman" w:hAnsiTheme="minorHAnsi" w:cstheme="minorHAnsi"/>
                <w:sz w:val="20"/>
                <w:szCs w:val="20"/>
              </w:rPr>
              <w:t>(percentage points)</w:t>
            </w:r>
          </w:p>
        </w:tc>
        <w:tc>
          <w:tcPr>
            <w:tcW w:w="447" w:type="pct"/>
          </w:tcPr>
          <w:p w:rsidR="000060DA" w:rsidRPr="00730D22" w:rsidRDefault="000060DA" w:rsidP="00201275">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30D22">
              <w:rPr>
                <w:rFonts w:asciiTheme="minorHAnsi" w:eastAsia="Times New Roman" w:hAnsiTheme="minorHAnsi" w:cstheme="minorHAnsi"/>
                <w:sz w:val="20"/>
                <w:szCs w:val="20"/>
              </w:rPr>
              <w:t>P-Value</w:t>
            </w:r>
          </w:p>
        </w:tc>
      </w:tr>
      <w:tr w:rsidR="008208AA" w:rsidRPr="00730D22" w:rsidTr="008208A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Theme="minorHAnsi" w:eastAsia="Times New Roman" w:hAnsiTheme="minorHAnsi" w:cstheme="minorHAnsi"/>
                <w:b w:val="0"/>
                <w:bCs w:val="0"/>
                <w:sz w:val="20"/>
                <w:szCs w:val="20"/>
              </w:rPr>
            </w:pPr>
            <w:r w:rsidRPr="00730D22">
              <w:rPr>
                <w:rFonts w:asciiTheme="minorHAnsi" w:eastAsia="Times New Roman" w:hAnsiTheme="minorHAnsi" w:cstheme="minorHAnsi"/>
                <w:b w:val="0"/>
                <w:sz w:val="20"/>
                <w:szCs w:val="20"/>
              </w:rPr>
              <w:t>Provider asked about child symptoms</w:t>
            </w:r>
          </w:p>
        </w:tc>
        <w:tc>
          <w:tcPr>
            <w:tcW w:w="420"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32(78)</w:t>
            </w:r>
          </w:p>
        </w:tc>
        <w:tc>
          <w:tcPr>
            <w:tcW w:w="427"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cstheme="minorHAnsi"/>
                <w:color w:val="000000"/>
                <w:sz w:val="20"/>
                <w:szCs w:val="20"/>
              </w:rPr>
              <w:t>42(78)</w:t>
            </w:r>
          </w:p>
        </w:tc>
        <w:tc>
          <w:tcPr>
            <w:tcW w:w="375"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30(67)</w:t>
            </w:r>
          </w:p>
        </w:tc>
        <w:tc>
          <w:tcPr>
            <w:tcW w:w="383"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cstheme="minorHAnsi"/>
                <w:color w:val="000000"/>
                <w:sz w:val="20"/>
                <w:szCs w:val="20"/>
              </w:rPr>
              <w:t>38(62)</w:t>
            </w:r>
          </w:p>
        </w:tc>
        <w:tc>
          <w:tcPr>
            <w:tcW w:w="599"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0</w:t>
            </w:r>
          </w:p>
        </w:tc>
        <w:tc>
          <w:tcPr>
            <w:tcW w:w="584"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5</w:t>
            </w:r>
          </w:p>
        </w:tc>
        <w:tc>
          <w:tcPr>
            <w:tcW w:w="631"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5</w:t>
            </w:r>
          </w:p>
        </w:tc>
        <w:tc>
          <w:tcPr>
            <w:tcW w:w="447"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20"/>
                <w:szCs w:val="20"/>
              </w:rPr>
            </w:pPr>
            <w:r w:rsidRPr="00730D22">
              <w:rPr>
                <w:rFonts w:eastAsia="Times New Roman" w:cstheme="minorHAnsi"/>
                <w:bCs/>
                <w:i/>
                <w:sz w:val="20"/>
                <w:szCs w:val="20"/>
              </w:rPr>
              <w:t>P=0.229</w:t>
            </w:r>
          </w:p>
        </w:tc>
      </w:tr>
      <w:tr w:rsidR="000060DA" w:rsidRPr="00730D22" w:rsidTr="008208AA">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Theme="minorHAnsi" w:eastAsia="Times New Roman" w:hAnsiTheme="minorHAnsi" w:cstheme="minorHAnsi"/>
                <w:b w:val="0"/>
                <w:bCs w:val="0"/>
                <w:sz w:val="20"/>
                <w:szCs w:val="20"/>
              </w:rPr>
            </w:pPr>
            <w:r w:rsidRPr="00730D22">
              <w:rPr>
                <w:rFonts w:ascii="Calibri" w:eastAsia="Times New Roman" w:hAnsi="Calibri" w:cs="Times New Roman"/>
                <w:b w:val="0"/>
                <w:sz w:val="20"/>
                <w:szCs w:val="20"/>
              </w:rPr>
              <w:t>Provider asked if the child was taking any other medicines</w:t>
            </w:r>
          </w:p>
        </w:tc>
        <w:tc>
          <w:tcPr>
            <w:tcW w:w="420"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11(27)</w:t>
            </w:r>
          </w:p>
        </w:tc>
        <w:tc>
          <w:tcPr>
            <w:tcW w:w="427"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30D22">
              <w:rPr>
                <w:rFonts w:cstheme="minorHAnsi"/>
                <w:color w:val="000000"/>
                <w:sz w:val="20"/>
                <w:szCs w:val="20"/>
              </w:rPr>
              <w:t>9(17)</w:t>
            </w:r>
          </w:p>
        </w:tc>
        <w:tc>
          <w:tcPr>
            <w:tcW w:w="375"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11(24)</w:t>
            </w:r>
          </w:p>
        </w:tc>
        <w:tc>
          <w:tcPr>
            <w:tcW w:w="383"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730D22">
              <w:rPr>
                <w:rFonts w:cstheme="minorHAnsi"/>
                <w:color w:val="000000"/>
                <w:sz w:val="20"/>
                <w:szCs w:val="20"/>
              </w:rPr>
              <w:t>14(23)</w:t>
            </w:r>
          </w:p>
        </w:tc>
        <w:tc>
          <w:tcPr>
            <w:tcW w:w="599"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10</w:t>
            </w:r>
          </w:p>
        </w:tc>
        <w:tc>
          <w:tcPr>
            <w:tcW w:w="584"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1</w:t>
            </w:r>
          </w:p>
        </w:tc>
        <w:tc>
          <w:tcPr>
            <w:tcW w:w="631"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–9</w:t>
            </w:r>
          </w:p>
        </w:tc>
        <w:tc>
          <w:tcPr>
            <w:tcW w:w="447"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i/>
                <w:sz w:val="20"/>
                <w:szCs w:val="20"/>
              </w:rPr>
            </w:pPr>
            <w:r w:rsidRPr="00730D22">
              <w:rPr>
                <w:rFonts w:eastAsia="Times New Roman" w:cstheme="minorHAnsi"/>
                <w:bCs/>
                <w:i/>
                <w:sz w:val="20"/>
                <w:szCs w:val="20"/>
              </w:rPr>
              <w:t>P=0.559</w:t>
            </w:r>
          </w:p>
        </w:tc>
      </w:tr>
      <w:tr w:rsidR="008208AA" w:rsidRPr="00730D22" w:rsidTr="008208AA">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Theme="minorHAnsi" w:eastAsia="Times New Roman" w:hAnsiTheme="minorHAnsi" w:cstheme="minorHAnsi"/>
                <w:b w:val="0"/>
                <w:bCs w:val="0"/>
                <w:sz w:val="20"/>
                <w:szCs w:val="20"/>
              </w:rPr>
            </w:pPr>
            <w:r>
              <w:rPr>
                <w:rFonts w:ascii="Calibri" w:eastAsia="Times New Roman" w:hAnsi="Calibri" w:cs="Times New Roman"/>
                <w:b w:val="0"/>
                <w:sz w:val="20"/>
                <w:szCs w:val="20"/>
              </w:rPr>
              <w:t>P</w:t>
            </w:r>
            <w:r w:rsidRPr="00730D22">
              <w:rPr>
                <w:rFonts w:ascii="Calibri" w:eastAsia="Times New Roman" w:hAnsi="Calibri" w:cs="Times New Roman"/>
                <w:b w:val="0"/>
                <w:sz w:val="20"/>
                <w:szCs w:val="20"/>
              </w:rPr>
              <w:t>rovide</w:t>
            </w:r>
            <w:r>
              <w:rPr>
                <w:rFonts w:ascii="Calibri" w:eastAsia="Times New Roman" w:hAnsi="Calibri" w:cs="Times New Roman"/>
                <w:b w:val="0"/>
                <w:sz w:val="20"/>
                <w:szCs w:val="20"/>
              </w:rPr>
              <w:t>r</w:t>
            </w:r>
            <w:r w:rsidRPr="00730D22">
              <w:rPr>
                <w:rFonts w:ascii="Calibri" w:eastAsia="Times New Roman" w:hAnsi="Calibri" w:cs="Times New Roman"/>
                <w:b w:val="0"/>
                <w:sz w:val="20"/>
                <w:szCs w:val="20"/>
              </w:rPr>
              <w:t xml:space="preserve"> gave instructions on how to take the medications</w:t>
            </w:r>
          </w:p>
        </w:tc>
        <w:tc>
          <w:tcPr>
            <w:tcW w:w="420"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24(59)</w:t>
            </w:r>
          </w:p>
        </w:tc>
        <w:tc>
          <w:tcPr>
            <w:tcW w:w="427"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30D22">
              <w:rPr>
                <w:rFonts w:cstheme="minorHAnsi"/>
                <w:color w:val="000000"/>
                <w:sz w:val="20"/>
                <w:szCs w:val="20"/>
              </w:rPr>
              <w:t>46(58)</w:t>
            </w:r>
          </w:p>
        </w:tc>
        <w:tc>
          <w:tcPr>
            <w:tcW w:w="375"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25(56)</w:t>
            </w:r>
          </w:p>
        </w:tc>
        <w:tc>
          <w:tcPr>
            <w:tcW w:w="383"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0D22">
              <w:rPr>
                <w:rFonts w:cstheme="minorHAnsi"/>
                <w:color w:val="000000"/>
                <w:sz w:val="20"/>
                <w:szCs w:val="20"/>
              </w:rPr>
              <w:t>36(59)</w:t>
            </w:r>
          </w:p>
        </w:tc>
        <w:tc>
          <w:tcPr>
            <w:tcW w:w="599"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1</w:t>
            </w:r>
          </w:p>
        </w:tc>
        <w:tc>
          <w:tcPr>
            <w:tcW w:w="584"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3</w:t>
            </w:r>
          </w:p>
        </w:tc>
        <w:tc>
          <w:tcPr>
            <w:tcW w:w="631"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2</w:t>
            </w:r>
          </w:p>
        </w:tc>
        <w:tc>
          <w:tcPr>
            <w:tcW w:w="447" w:type="pct"/>
          </w:tcPr>
          <w:p w:rsidR="000060DA" w:rsidRPr="00E620D7"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20"/>
                <w:szCs w:val="20"/>
              </w:rPr>
            </w:pPr>
            <w:r>
              <w:rPr>
                <w:rFonts w:eastAsia="Times New Roman" w:cstheme="minorHAnsi"/>
                <w:bCs/>
                <w:i/>
                <w:sz w:val="20"/>
                <w:szCs w:val="20"/>
              </w:rPr>
              <w:t>P= 0.140</w:t>
            </w:r>
          </w:p>
        </w:tc>
      </w:tr>
      <w:tr w:rsidR="000060DA" w:rsidRPr="00730D22" w:rsidTr="008208AA">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Theme="minorHAnsi" w:eastAsia="Times New Roman" w:hAnsiTheme="minorHAnsi" w:cstheme="minorHAnsi"/>
                <w:b w:val="0"/>
                <w:bCs w:val="0"/>
                <w:sz w:val="20"/>
                <w:szCs w:val="20"/>
              </w:rPr>
            </w:pPr>
            <w:r>
              <w:rPr>
                <w:rFonts w:ascii="Calibri" w:eastAsia="Times New Roman" w:hAnsi="Calibri" w:cs="Times New Roman"/>
                <w:b w:val="0"/>
                <w:sz w:val="20"/>
                <w:szCs w:val="20"/>
              </w:rPr>
              <w:t>P</w:t>
            </w:r>
            <w:r w:rsidRPr="00730D22">
              <w:rPr>
                <w:rFonts w:ascii="Calibri" w:eastAsia="Times New Roman" w:hAnsi="Calibri" w:cs="Times New Roman"/>
                <w:b w:val="0"/>
                <w:sz w:val="20"/>
                <w:szCs w:val="20"/>
              </w:rPr>
              <w:t>rovider gave information on how to look for danger signs</w:t>
            </w:r>
          </w:p>
        </w:tc>
        <w:tc>
          <w:tcPr>
            <w:tcW w:w="420"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4(10)</w:t>
            </w:r>
          </w:p>
        </w:tc>
        <w:tc>
          <w:tcPr>
            <w:tcW w:w="427"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30D22">
              <w:rPr>
                <w:rFonts w:cstheme="minorHAnsi"/>
                <w:color w:val="000000"/>
                <w:sz w:val="20"/>
                <w:szCs w:val="20"/>
              </w:rPr>
              <w:t>10(19)</w:t>
            </w:r>
          </w:p>
        </w:tc>
        <w:tc>
          <w:tcPr>
            <w:tcW w:w="375"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color w:val="000000"/>
                <w:sz w:val="20"/>
                <w:szCs w:val="20"/>
              </w:rPr>
              <w:t>3(7)</w:t>
            </w:r>
          </w:p>
        </w:tc>
        <w:tc>
          <w:tcPr>
            <w:tcW w:w="383"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730D22">
              <w:rPr>
                <w:rFonts w:cstheme="minorHAnsi"/>
                <w:color w:val="000000"/>
                <w:sz w:val="20"/>
                <w:szCs w:val="20"/>
              </w:rPr>
              <w:t>1(2)</w:t>
            </w:r>
          </w:p>
        </w:tc>
        <w:tc>
          <w:tcPr>
            <w:tcW w:w="599"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9</w:t>
            </w:r>
          </w:p>
        </w:tc>
        <w:tc>
          <w:tcPr>
            <w:tcW w:w="584"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5</w:t>
            </w:r>
          </w:p>
        </w:tc>
        <w:tc>
          <w:tcPr>
            <w:tcW w:w="631"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14</w:t>
            </w:r>
          </w:p>
        </w:tc>
        <w:tc>
          <w:tcPr>
            <w:tcW w:w="447" w:type="pct"/>
          </w:tcPr>
          <w:p w:rsidR="000060DA" w:rsidRPr="00460A91"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i/>
                <w:sz w:val="20"/>
                <w:szCs w:val="20"/>
              </w:rPr>
            </w:pPr>
            <w:r w:rsidRPr="00460A91">
              <w:rPr>
                <w:rFonts w:eastAsia="Times New Roman" w:cstheme="minorHAnsi"/>
                <w:b/>
                <w:bCs/>
                <w:i/>
                <w:sz w:val="20"/>
                <w:szCs w:val="20"/>
              </w:rPr>
              <w:t>P&lt;0.05*</w:t>
            </w:r>
          </w:p>
        </w:tc>
      </w:tr>
      <w:tr w:rsidR="008208AA" w:rsidRPr="00730D22" w:rsidTr="008208AA">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Calibri" w:eastAsia="Times New Roman" w:hAnsi="Calibri" w:cs="Times New Roman"/>
                <w:b w:val="0"/>
                <w:bCs w:val="0"/>
                <w:sz w:val="20"/>
                <w:szCs w:val="20"/>
              </w:rPr>
            </w:pPr>
            <w:r w:rsidRPr="00730D22">
              <w:rPr>
                <w:rFonts w:ascii="Calibri" w:eastAsia="Times New Roman" w:hAnsi="Calibri" w:cs="Times New Roman"/>
                <w:b w:val="0"/>
                <w:sz w:val="20"/>
                <w:szCs w:val="20"/>
              </w:rPr>
              <w:t>Provider dispensed antibiotic</w:t>
            </w:r>
          </w:p>
        </w:tc>
        <w:tc>
          <w:tcPr>
            <w:tcW w:w="420"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0D22">
              <w:rPr>
                <w:rFonts w:eastAsia="Times New Roman" w:cstheme="minorHAnsi"/>
                <w:color w:val="000000"/>
                <w:sz w:val="20"/>
                <w:szCs w:val="20"/>
              </w:rPr>
              <w:t>36(88)</w:t>
            </w:r>
          </w:p>
        </w:tc>
        <w:tc>
          <w:tcPr>
            <w:tcW w:w="427"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30D22">
              <w:rPr>
                <w:rFonts w:cstheme="minorHAnsi"/>
                <w:color w:val="000000"/>
                <w:sz w:val="20"/>
                <w:szCs w:val="20"/>
              </w:rPr>
              <w:t>39(80)</w:t>
            </w:r>
          </w:p>
        </w:tc>
        <w:tc>
          <w:tcPr>
            <w:tcW w:w="375"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30D22">
              <w:rPr>
                <w:rFonts w:eastAsia="Times New Roman" w:cstheme="minorHAnsi"/>
                <w:color w:val="000000"/>
                <w:sz w:val="20"/>
                <w:szCs w:val="20"/>
              </w:rPr>
              <w:t>26(68)</w:t>
            </w:r>
          </w:p>
        </w:tc>
        <w:tc>
          <w:tcPr>
            <w:tcW w:w="383" w:type="pct"/>
          </w:tcPr>
          <w:p w:rsidR="000060DA" w:rsidRPr="00730D22"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30D22">
              <w:rPr>
                <w:rFonts w:cstheme="minorHAnsi"/>
                <w:color w:val="000000"/>
                <w:sz w:val="20"/>
                <w:szCs w:val="20"/>
              </w:rPr>
              <w:t>54(88)</w:t>
            </w:r>
          </w:p>
        </w:tc>
        <w:tc>
          <w:tcPr>
            <w:tcW w:w="599"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w:t>
            </w:r>
            <w:r w:rsidRPr="00730D22">
              <w:rPr>
                <w:rFonts w:eastAsia="Times New Roman" w:cstheme="minorHAnsi"/>
                <w:bCs/>
                <w:sz w:val="20"/>
                <w:szCs w:val="20"/>
              </w:rPr>
              <w:t>8</w:t>
            </w:r>
          </w:p>
        </w:tc>
        <w:tc>
          <w:tcPr>
            <w:tcW w:w="584"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20</w:t>
            </w:r>
          </w:p>
        </w:tc>
        <w:tc>
          <w:tcPr>
            <w:tcW w:w="631"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Pr>
                <w:rFonts w:eastAsia="Times New Roman" w:cstheme="minorHAnsi"/>
                <w:bCs/>
                <w:sz w:val="20"/>
                <w:szCs w:val="20"/>
              </w:rPr>
              <w:t>–28</w:t>
            </w:r>
          </w:p>
        </w:tc>
        <w:tc>
          <w:tcPr>
            <w:tcW w:w="447" w:type="pct"/>
          </w:tcPr>
          <w:p w:rsidR="000060DA" w:rsidRPr="00730D22"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20"/>
                <w:szCs w:val="20"/>
              </w:rPr>
            </w:pPr>
            <w:r w:rsidRPr="00730D22">
              <w:rPr>
                <w:rFonts w:eastAsia="Times New Roman" w:cstheme="minorHAnsi"/>
                <w:bCs/>
                <w:i/>
                <w:sz w:val="20"/>
                <w:szCs w:val="20"/>
              </w:rPr>
              <w:t>P=0.198</w:t>
            </w:r>
          </w:p>
        </w:tc>
      </w:tr>
      <w:tr w:rsidR="000060DA" w:rsidRPr="00730D22" w:rsidTr="008208AA">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36" w:type="pct"/>
          </w:tcPr>
          <w:p w:rsidR="000060DA" w:rsidRPr="00730D22" w:rsidRDefault="000060DA" w:rsidP="00201275">
            <w:pPr>
              <w:keepNext/>
              <w:spacing w:line="276" w:lineRule="auto"/>
              <w:contextualSpacing/>
              <w:rPr>
                <w:rFonts w:ascii="Calibri" w:eastAsia="Times New Roman" w:hAnsi="Calibri" w:cs="Times New Roman"/>
                <w:b w:val="0"/>
                <w:bCs w:val="0"/>
                <w:sz w:val="20"/>
                <w:szCs w:val="20"/>
              </w:rPr>
            </w:pPr>
            <w:r w:rsidRPr="00730D22">
              <w:rPr>
                <w:rFonts w:ascii="Calibri" w:eastAsia="Times New Roman" w:hAnsi="Calibri" w:cs="Times New Roman"/>
                <w:b w:val="0"/>
                <w:sz w:val="20"/>
                <w:szCs w:val="20"/>
              </w:rPr>
              <w:t>Provider dispensed ORS</w:t>
            </w:r>
          </w:p>
        </w:tc>
        <w:tc>
          <w:tcPr>
            <w:tcW w:w="420"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730D22">
              <w:rPr>
                <w:rFonts w:eastAsia="Times New Roman" w:cstheme="minorHAnsi"/>
                <w:color w:val="000000"/>
                <w:sz w:val="20"/>
                <w:szCs w:val="20"/>
              </w:rPr>
              <w:t>8(20)</w:t>
            </w:r>
          </w:p>
        </w:tc>
        <w:tc>
          <w:tcPr>
            <w:tcW w:w="427"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730D22">
              <w:rPr>
                <w:rFonts w:cstheme="minorHAnsi"/>
                <w:color w:val="000000"/>
                <w:sz w:val="20"/>
                <w:szCs w:val="20"/>
              </w:rPr>
              <w:t>11(23)</w:t>
            </w:r>
          </w:p>
        </w:tc>
        <w:tc>
          <w:tcPr>
            <w:tcW w:w="375"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730D22">
              <w:rPr>
                <w:rFonts w:eastAsia="Times New Roman" w:cstheme="minorHAnsi"/>
                <w:color w:val="000000"/>
                <w:sz w:val="20"/>
                <w:szCs w:val="20"/>
              </w:rPr>
              <w:t>7(16)</w:t>
            </w:r>
          </w:p>
        </w:tc>
        <w:tc>
          <w:tcPr>
            <w:tcW w:w="383" w:type="pct"/>
          </w:tcPr>
          <w:p w:rsidR="000060DA" w:rsidRPr="00730D22"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730D22">
              <w:rPr>
                <w:rFonts w:cstheme="minorHAnsi"/>
                <w:color w:val="000000"/>
                <w:sz w:val="20"/>
                <w:szCs w:val="20"/>
              </w:rPr>
              <w:t>11(18)</w:t>
            </w:r>
          </w:p>
        </w:tc>
        <w:tc>
          <w:tcPr>
            <w:tcW w:w="599"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3</w:t>
            </w:r>
          </w:p>
        </w:tc>
        <w:tc>
          <w:tcPr>
            <w:tcW w:w="584"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730D22">
              <w:rPr>
                <w:rFonts w:eastAsia="Times New Roman" w:cstheme="minorHAnsi"/>
                <w:bCs/>
                <w:sz w:val="20"/>
                <w:szCs w:val="20"/>
              </w:rPr>
              <w:t>2</w:t>
            </w:r>
          </w:p>
        </w:tc>
        <w:tc>
          <w:tcPr>
            <w:tcW w:w="631"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Pr>
                <w:rFonts w:eastAsia="Times New Roman" w:cstheme="minorHAnsi"/>
                <w:bCs/>
                <w:sz w:val="20"/>
                <w:szCs w:val="20"/>
              </w:rPr>
              <w:t>1</w:t>
            </w:r>
          </w:p>
        </w:tc>
        <w:tc>
          <w:tcPr>
            <w:tcW w:w="447" w:type="pct"/>
          </w:tcPr>
          <w:p w:rsidR="000060DA" w:rsidRPr="00730D22"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i/>
                <w:sz w:val="20"/>
                <w:szCs w:val="20"/>
              </w:rPr>
            </w:pPr>
            <w:r w:rsidRPr="00730D22">
              <w:rPr>
                <w:rFonts w:eastAsia="Times New Roman" w:cstheme="minorHAnsi"/>
                <w:bCs/>
                <w:i/>
                <w:sz w:val="20"/>
                <w:szCs w:val="20"/>
              </w:rPr>
              <w:t>P=0.492</w:t>
            </w:r>
          </w:p>
        </w:tc>
      </w:tr>
    </w:tbl>
    <w:p w:rsidR="000060DA" w:rsidRPr="009F2EE3" w:rsidRDefault="000060DA" w:rsidP="000060DA">
      <w:pPr>
        <w:pStyle w:val="NoSpacing"/>
        <w:rPr>
          <w:rFonts w:eastAsia="Times New Roman" w:cstheme="minorHAnsi"/>
          <w:sz w:val="20"/>
          <w:szCs w:val="20"/>
        </w:rPr>
      </w:pPr>
      <w:r w:rsidRPr="009F2EE3">
        <w:rPr>
          <w:rFonts w:eastAsia="Times New Roman" w:cstheme="minorHAnsi"/>
          <w:sz w:val="20"/>
          <w:szCs w:val="20"/>
        </w:rPr>
        <w:t>*Difference between regions was statistically significant.</w:t>
      </w:r>
    </w:p>
    <w:p w:rsidR="000060DA" w:rsidRPr="00D127FD" w:rsidRDefault="000060DA" w:rsidP="000060DA">
      <w:pPr>
        <w:pStyle w:val="NoSpacing"/>
        <w:rPr>
          <w:rFonts w:asciiTheme="majorHAnsi" w:hAnsiTheme="majorHAnsi"/>
        </w:rPr>
      </w:pPr>
    </w:p>
    <w:p w:rsidR="000060DA" w:rsidRPr="00DA2CC6" w:rsidRDefault="000060DA" w:rsidP="000060DA">
      <w:pPr>
        <w:rPr>
          <w:b/>
          <w:color w:val="984806" w:themeColor="accent6" w:themeShade="80"/>
        </w:rPr>
      </w:pPr>
      <w:r w:rsidRPr="00DA2CC6">
        <w:rPr>
          <w:b/>
          <w:color w:val="984806" w:themeColor="accent6" w:themeShade="80"/>
        </w:rPr>
        <w:t>UGANDA</w:t>
      </w:r>
      <w:r w:rsidR="00416BA0">
        <w:rPr>
          <w:b/>
          <w:color w:val="984806" w:themeColor="accent6" w:themeShade="80"/>
        </w:rPr>
        <w:t xml:space="preserve"> EVALUATION UNDER EADSI</w:t>
      </w:r>
    </w:p>
    <w:p w:rsidR="00DA2CC6" w:rsidRPr="00DA2CC6" w:rsidRDefault="00DA2CC6" w:rsidP="00DA2CC6">
      <w:pPr>
        <w:pStyle w:val="H30"/>
        <w:keepNext/>
        <w:spacing w:line="240" w:lineRule="auto"/>
        <w:rPr>
          <w:rFonts w:eastAsia="Times New Roman"/>
          <w:b w:val="0"/>
          <w:i w:val="0"/>
        </w:rPr>
      </w:pPr>
      <w:bookmarkStart w:id="11" w:name="_Toc310350402"/>
      <w:r w:rsidRPr="00DA2CC6">
        <w:rPr>
          <w:rFonts w:eastAsia="Times New Roman"/>
          <w:b w:val="0"/>
          <w:i w:val="0"/>
        </w:rPr>
        <w:t xml:space="preserve">In Uganda, we selected Kibaale </w:t>
      </w:r>
      <w:r w:rsidR="00416BA0">
        <w:rPr>
          <w:rFonts w:eastAsia="Times New Roman"/>
          <w:b w:val="0"/>
          <w:i w:val="0"/>
        </w:rPr>
        <w:t xml:space="preserve">(66 shops) </w:t>
      </w:r>
      <w:r w:rsidRPr="00DA2CC6">
        <w:rPr>
          <w:rFonts w:eastAsia="Times New Roman"/>
          <w:b w:val="0"/>
          <w:i w:val="0"/>
        </w:rPr>
        <w:t xml:space="preserve">as the intervention district and Mpigi </w:t>
      </w:r>
      <w:r w:rsidR="00416BA0">
        <w:rPr>
          <w:rFonts w:eastAsia="Times New Roman"/>
          <w:b w:val="0"/>
          <w:i w:val="0"/>
        </w:rPr>
        <w:t xml:space="preserve">(64 shops) </w:t>
      </w:r>
      <w:r w:rsidRPr="00DA2CC6">
        <w:rPr>
          <w:rFonts w:eastAsia="Times New Roman"/>
          <w:b w:val="0"/>
          <w:i w:val="0"/>
        </w:rPr>
        <w:t>as the comparison district. As in Tanzania, the two districts had similar demographic indicators.</w:t>
      </w:r>
    </w:p>
    <w:p w:rsidR="00DA2CC6" w:rsidRDefault="00DA2CC6" w:rsidP="000060DA">
      <w:pPr>
        <w:pStyle w:val="H30"/>
        <w:keepNext/>
        <w:rPr>
          <w:color w:val="984806" w:themeColor="accent6" w:themeShade="80"/>
        </w:rPr>
      </w:pPr>
    </w:p>
    <w:p w:rsidR="000060DA" w:rsidRPr="00DA2CC6" w:rsidRDefault="000060DA" w:rsidP="000060DA">
      <w:pPr>
        <w:pStyle w:val="H30"/>
        <w:keepNext/>
        <w:rPr>
          <w:color w:val="984806" w:themeColor="accent6" w:themeShade="80"/>
        </w:rPr>
      </w:pPr>
      <w:r w:rsidRPr="00DA2CC6">
        <w:rPr>
          <w:color w:val="984806" w:themeColor="accent6" w:themeShade="80"/>
        </w:rPr>
        <w:t>Availability of antidiarrhea medicines</w:t>
      </w:r>
      <w:bookmarkEnd w:id="11"/>
    </w:p>
    <w:p w:rsidR="000060DA" w:rsidRDefault="000060DA" w:rsidP="000060DA">
      <w:pPr>
        <w:pStyle w:val="NoSpacing"/>
        <w:keepNext/>
        <w:rPr>
          <w:rFonts w:eastAsia="Times New Roman"/>
        </w:rPr>
      </w:pPr>
      <w:r w:rsidRPr="00D127FD">
        <w:rPr>
          <w:rFonts w:eastAsia="Times New Roman"/>
        </w:rPr>
        <w:t>The number of ADS in Kibaale stocking ORS increased from 50% to 8</w:t>
      </w:r>
      <w:r>
        <w:rPr>
          <w:rFonts w:eastAsia="Times New Roman"/>
        </w:rPr>
        <w:t>7</w:t>
      </w:r>
      <w:r w:rsidRPr="00D127FD">
        <w:rPr>
          <w:rFonts w:eastAsia="Times New Roman"/>
        </w:rPr>
        <w:t>%</w:t>
      </w:r>
      <w:r>
        <w:rPr>
          <w:rFonts w:eastAsia="Times New Roman"/>
        </w:rPr>
        <w:t>,</w:t>
      </w:r>
      <w:r w:rsidRPr="00D127FD">
        <w:rPr>
          <w:rFonts w:eastAsia="Times New Roman"/>
        </w:rPr>
        <w:t xml:space="preserve"> while ADS stocks of zinc tablets increased from 6% to 62%. The number of drug shops in Mpigi also experienced </w:t>
      </w:r>
      <w:r>
        <w:rPr>
          <w:rFonts w:eastAsia="Times New Roman"/>
        </w:rPr>
        <w:t xml:space="preserve">smaller </w:t>
      </w:r>
      <w:r w:rsidRPr="00D127FD">
        <w:rPr>
          <w:rFonts w:eastAsia="Times New Roman"/>
        </w:rPr>
        <w:t>increases</w:t>
      </w:r>
      <w:r>
        <w:rPr>
          <w:rFonts w:eastAsia="Times New Roman"/>
        </w:rPr>
        <w:t xml:space="preserve"> </w:t>
      </w:r>
      <w:r w:rsidRPr="00D127FD">
        <w:rPr>
          <w:rFonts w:eastAsia="Times New Roman"/>
        </w:rPr>
        <w:t xml:space="preserve">in the availability of antidiarrhea medicines (78% to 88% for ORS and 13% to 24% for zinc). Table </w:t>
      </w:r>
      <w:r>
        <w:rPr>
          <w:rFonts w:eastAsia="Times New Roman"/>
        </w:rPr>
        <w:t>11</w:t>
      </w:r>
      <w:r w:rsidRPr="00D127FD">
        <w:rPr>
          <w:rFonts w:eastAsia="Times New Roman"/>
        </w:rPr>
        <w:t xml:space="preserve"> gives specific percentage availability of different drugs and makes statistical comparisons o</w:t>
      </w:r>
      <w:r>
        <w:rPr>
          <w:rFonts w:eastAsia="Times New Roman"/>
        </w:rPr>
        <w:t>f</w:t>
      </w:r>
      <w:r w:rsidRPr="00D127FD">
        <w:rPr>
          <w:rFonts w:eastAsia="Times New Roman"/>
        </w:rPr>
        <w:t xml:space="preserve"> the significance of the observed changes. The results for ORS are not statistically significant while those for zinc tablets are.</w:t>
      </w:r>
    </w:p>
    <w:p w:rsidR="000060DA" w:rsidRPr="006A7A6C" w:rsidRDefault="000060DA" w:rsidP="000060DA">
      <w:pPr>
        <w:pStyle w:val="NoSpacing"/>
        <w:keepNext/>
        <w:rPr>
          <w:rFonts w:eastAsia="Times New Roman"/>
        </w:rPr>
      </w:pPr>
    </w:p>
    <w:p w:rsidR="00DA2CC6" w:rsidRDefault="00DA2CC6">
      <w:pPr>
        <w:rPr>
          <w:b/>
          <w:color w:val="984806" w:themeColor="accent6" w:themeShade="80"/>
        </w:rPr>
      </w:pPr>
      <w:r>
        <w:rPr>
          <w:b/>
          <w:color w:val="984806" w:themeColor="accent6" w:themeShade="80"/>
        </w:rPr>
        <w:br w:type="page"/>
      </w:r>
    </w:p>
    <w:p w:rsidR="000060DA" w:rsidRPr="00DA2CC6" w:rsidRDefault="000060DA" w:rsidP="00DA2CC6">
      <w:pPr>
        <w:keepNext/>
        <w:spacing w:after="0"/>
        <w:rPr>
          <w:b/>
          <w:color w:val="984806" w:themeColor="accent6" w:themeShade="80"/>
        </w:rPr>
      </w:pPr>
      <w:r w:rsidRPr="00DA2CC6">
        <w:rPr>
          <w:b/>
          <w:color w:val="984806" w:themeColor="accent6" w:themeShade="80"/>
        </w:rPr>
        <w:lastRenderedPageBreak/>
        <w:t>Availability of Anti-diarrheal Products in Kibaale and Mpigi</w:t>
      </w:r>
    </w:p>
    <w:tbl>
      <w:tblPr>
        <w:tblStyle w:val="LightGrid-Accent6"/>
        <w:tblpPr w:leftFromText="180" w:rightFromText="180" w:vertAnchor="text" w:horzAnchor="margin" w:tblpX="-144" w:tblpY="158"/>
        <w:tblW w:w="0" w:type="auto"/>
        <w:tblLook w:val="04A0" w:firstRow="1" w:lastRow="0" w:firstColumn="1" w:lastColumn="0" w:noHBand="0" w:noVBand="1"/>
      </w:tblPr>
      <w:tblGrid>
        <w:gridCol w:w="795"/>
        <w:gridCol w:w="929"/>
        <w:gridCol w:w="882"/>
        <w:gridCol w:w="777"/>
        <w:gridCol w:w="788"/>
        <w:gridCol w:w="1488"/>
        <w:gridCol w:w="1471"/>
        <w:gridCol w:w="1571"/>
        <w:gridCol w:w="875"/>
      </w:tblGrid>
      <w:tr w:rsidR="00416BA0" w:rsidRPr="00135007" w:rsidTr="00DA2C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0060DA" w:rsidRPr="00145E8C" w:rsidRDefault="000060DA" w:rsidP="00DA2CC6">
            <w:pPr>
              <w:keepNext/>
              <w:contextualSpacing/>
              <w:rPr>
                <w:rFonts w:asciiTheme="minorHAnsi" w:eastAsia="Times New Roman" w:hAnsiTheme="minorHAnsi" w:cstheme="minorHAnsi"/>
                <w:sz w:val="20"/>
                <w:szCs w:val="20"/>
              </w:rPr>
            </w:pPr>
            <w:r w:rsidRPr="00135007">
              <w:rPr>
                <w:rFonts w:asciiTheme="minorHAnsi" w:eastAsia="Times New Roman" w:hAnsiTheme="minorHAnsi" w:cstheme="minorHAnsi"/>
                <w:sz w:val="20"/>
                <w:szCs w:val="20"/>
              </w:rPr>
              <w:t>Tracer drug</w:t>
            </w:r>
          </w:p>
        </w:tc>
        <w:tc>
          <w:tcPr>
            <w:tcW w:w="0" w:type="auto"/>
          </w:tcPr>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rPr>
            </w:pPr>
            <w:r w:rsidRPr="00135007">
              <w:rPr>
                <w:rFonts w:asciiTheme="minorHAnsi" w:eastAsia="Times New Roman" w:hAnsiTheme="minorHAnsi" w:cstheme="minorHAnsi"/>
                <w:sz w:val="20"/>
                <w:szCs w:val="20"/>
              </w:rPr>
              <w:t>Kibaale Pre # (%)</w:t>
            </w:r>
          </w:p>
        </w:tc>
        <w:tc>
          <w:tcPr>
            <w:tcW w:w="0" w:type="auto"/>
          </w:tcPr>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0"/>
              </w:rPr>
            </w:pPr>
            <w:r w:rsidRPr="00135007">
              <w:rPr>
                <w:rFonts w:asciiTheme="minorHAnsi" w:eastAsia="Times New Roman" w:hAnsiTheme="minorHAnsi" w:cstheme="minorHAnsi"/>
                <w:sz w:val="20"/>
                <w:szCs w:val="20"/>
              </w:rPr>
              <w:t>Kibaale Post</w:t>
            </w:r>
          </w:p>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0"/>
              </w:rPr>
            </w:pPr>
            <w:r w:rsidRPr="00135007">
              <w:rPr>
                <w:rFonts w:asciiTheme="minorHAnsi" w:eastAsia="Times New Roman" w:hAnsiTheme="minorHAnsi" w:cstheme="minorHAnsi"/>
                <w:sz w:val="20"/>
                <w:szCs w:val="20"/>
              </w:rPr>
              <w:t># (%)</w:t>
            </w:r>
          </w:p>
        </w:tc>
        <w:tc>
          <w:tcPr>
            <w:tcW w:w="0" w:type="auto"/>
          </w:tcPr>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rPr>
            </w:pPr>
            <w:r w:rsidRPr="00135007">
              <w:rPr>
                <w:rFonts w:asciiTheme="minorHAnsi" w:eastAsia="Times New Roman" w:hAnsiTheme="minorHAnsi" w:cstheme="minorHAnsi"/>
                <w:sz w:val="20"/>
                <w:szCs w:val="20"/>
              </w:rPr>
              <w:t>Mpigi Pre</w:t>
            </w:r>
          </w:p>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rPr>
            </w:pPr>
            <w:r w:rsidRPr="00135007">
              <w:rPr>
                <w:rFonts w:asciiTheme="minorHAnsi" w:eastAsia="Times New Roman" w:hAnsiTheme="minorHAnsi" w:cstheme="minorHAnsi"/>
                <w:sz w:val="20"/>
                <w:szCs w:val="20"/>
              </w:rPr>
              <w:t># (%)</w:t>
            </w:r>
          </w:p>
        </w:tc>
        <w:tc>
          <w:tcPr>
            <w:tcW w:w="0" w:type="auto"/>
          </w:tcPr>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0"/>
              </w:rPr>
            </w:pPr>
            <w:r w:rsidRPr="00135007">
              <w:rPr>
                <w:rFonts w:asciiTheme="minorHAnsi" w:eastAsia="Times New Roman" w:hAnsiTheme="minorHAnsi" w:cstheme="minorHAnsi"/>
                <w:sz w:val="20"/>
                <w:szCs w:val="20"/>
              </w:rPr>
              <w:t>Mpigi Post</w:t>
            </w:r>
          </w:p>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0"/>
              </w:rPr>
            </w:pPr>
            <w:r w:rsidRPr="00135007">
              <w:rPr>
                <w:rFonts w:asciiTheme="minorHAnsi" w:eastAsia="Times New Roman" w:hAnsiTheme="minorHAnsi" w:cstheme="minorHAnsi"/>
                <w:sz w:val="20"/>
                <w:szCs w:val="20"/>
              </w:rPr>
              <w:t># (%)</w:t>
            </w:r>
          </w:p>
        </w:tc>
        <w:tc>
          <w:tcPr>
            <w:tcW w:w="0" w:type="auto"/>
          </w:tcPr>
          <w:p w:rsidR="000060DA" w:rsidRPr="009D2D58"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35007">
              <w:rPr>
                <w:rFonts w:asciiTheme="minorHAnsi" w:eastAsia="Times New Roman" w:hAnsiTheme="minorHAnsi" w:cstheme="minorHAnsi"/>
                <w:sz w:val="20"/>
                <w:szCs w:val="20"/>
              </w:rPr>
              <w:t xml:space="preserve">Kibaale difference </w:t>
            </w:r>
            <w:r w:rsidRPr="001E025F">
              <w:rPr>
                <w:rFonts w:asciiTheme="minorHAnsi" w:eastAsia="Times New Roman" w:hAnsiTheme="minorHAnsi" w:cstheme="minorHAnsi"/>
                <w:sz w:val="20"/>
                <w:szCs w:val="20"/>
              </w:rPr>
              <w:t>(percentage points)</w:t>
            </w:r>
          </w:p>
        </w:tc>
        <w:tc>
          <w:tcPr>
            <w:tcW w:w="0" w:type="auto"/>
          </w:tcPr>
          <w:p w:rsidR="000060DA" w:rsidRPr="009D2D58"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35007">
              <w:rPr>
                <w:rFonts w:asciiTheme="minorHAnsi" w:eastAsia="Times New Roman" w:hAnsiTheme="minorHAnsi" w:cstheme="minorHAnsi"/>
                <w:sz w:val="20"/>
                <w:szCs w:val="20"/>
              </w:rPr>
              <w:t xml:space="preserve">Mpigi difference </w:t>
            </w:r>
            <w:r w:rsidRPr="001E025F">
              <w:rPr>
                <w:rFonts w:asciiTheme="minorHAnsi" w:eastAsia="Times New Roman" w:hAnsiTheme="minorHAnsi" w:cstheme="minorHAnsi"/>
                <w:sz w:val="20"/>
                <w:szCs w:val="20"/>
              </w:rPr>
              <w:t>(percentage points)</w:t>
            </w:r>
          </w:p>
        </w:tc>
        <w:tc>
          <w:tcPr>
            <w:tcW w:w="0" w:type="auto"/>
          </w:tcPr>
          <w:p w:rsidR="000060DA" w:rsidRPr="009D2D58"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35007">
              <w:rPr>
                <w:rFonts w:asciiTheme="minorHAnsi" w:eastAsia="Times New Roman" w:hAnsiTheme="minorHAnsi" w:cstheme="minorHAnsi"/>
                <w:sz w:val="20"/>
                <w:szCs w:val="20"/>
              </w:rPr>
              <w:t>Between group difference</w:t>
            </w:r>
            <w:r>
              <w:rPr>
                <w:rFonts w:asciiTheme="minorHAnsi" w:eastAsia="Times New Roman" w:hAnsiTheme="minorHAnsi" w:cstheme="minorHAnsi"/>
                <w:sz w:val="20"/>
                <w:szCs w:val="20"/>
              </w:rPr>
              <w:t xml:space="preserve"> </w:t>
            </w:r>
            <w:r w:rsidRPr="001E025F">
              <w:rPr>
                <w:rFonts w:asciiTheme="minorHAnsi" w:eastAsia="Times New Roman" w:hAnsiTheme="minorHAnsi" w:cstheme="minorHAnsi"/>
                <w:sz w:val="20"/>
                <w:szCs w:val="20"/>
              </w:rPr>
              <w:t>(percentage points)</w:t>
            </w:r>
          </w:p>
        </w:tc>
        <w:tc>
          <w:tcPr>
            <w:tcW w:w="0" w:type="auto"/>
          </w:tcPr>
          <w:p w:rsidR="000060DA" w:rsidRPr="00135007" w:rsidRDefault="000060DA" w:rsidP="00DA2CC6">
            <w:pPr>
              <w:keepNext/>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0"/>
              </w:rPr>
            </w:pPr>
            <w:r w:rsidRPr="00135007">
              <w:rPr>
                <w:rFonts w:asciiTheme="minorHAnsi" w:eastAsia="Times New Roman" w:hAnsiTheme="minorHAnsi" w:cstheme="minorHAnsi"/>
                <w:sz w:val="20"/>
                <w:szCs w:val="20"/>
              </w:rPr>
              <w:t>P-Value</w:t>
            </w:r>
          </w:p>
        </w:tc>
      </w:tr>
      <w:tr w:rsidR="00DA2CC6" w:rsidRPr="00135007" w:rsidTr="00DA2C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0060DA" w:rsidRPr="00135007" w:rsidRDefault="000060DA" w:rsidP="00201275">
            <w:pPr>
              <w:keepNext/>
              <w:spacing w:line="276" w:lineRule="auto"/>
              <w:contextualSpacing/>
              <w:rPr>
                <w:rFonts w:asciiTheme="minorHAnsi" w:eastAsia="Times New Roman" w:hAnsiTheme="minorHAnsi" w:cstheme="minorHAnsi"/>
                <w:b w:val="0"/>
                <w:bCs w:val="0"/>
                <w:sz w:val="20"/>
                <w:szCs w:val="20"/>
              </w:rPr>
            </w:pPr>
            <w:r w:rsidRPr="00135007">
              <w:rPr>
                <w:rFonts w:asciiTheme="minorHAnsi" w:eastAsia="Times New Roman" w:hAnsiTheme="minorHAnsi" w:cstheme="minorHAnsi"/>
                <w:b w:val="0"/>
                <w:sz w:val="20"/>
                <w:szCs w:val="20"/>
              </w:rPr>
              <w:t>ORS</w:t>
            </w:r>
          </w:p>
        </w:tc>
        <w:tc>
          <w:tcPr>
            <w:tcW w:w="0" w:type="auto"/>
          </w:tcPr>
          <w:p w:rsidR="000060DA" w:rsidRPr="00135007"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35007">
              <w:rPr>
                <w:rFonts w:eastAsia="Times New Roman" w:cstheme="minorHAnsi"/>
                <w:color w:val="000000"/>
                <w:sz w:val="20"/>
                <w:szCs w:val="20"/>
              </w:rPr>
              <w:t>33(50)</w:t>
            </w:r>
          </w:p>
        </w:tc>
        <w:tc>
          <w:tcPr>
            <w:tcW w:w="0" w:type="auto"/>
          </w:tcPr>
          <w:p w:rsidR="000060DA" w:rsidRPr="00135007"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35007">
              <w:rPr>
                <w:rFonts w:cstheme="minorHAnsi"/>
                <w:color w:val="000000"/>
                <w:sz w:val="20"/>
                <w:szCs w:val="20"/>
              </w:rPr>
              <w:t>39(87)</w:t>
            </w:r>
          </w:p>
        </w:tc>
        <w:tc>
          <w:tcPr>
            <w:tcW w:w="0" w:type="auto"/>
          </w:tcPr>
          <w:p w:rsidR="000060DA" w:rsidRPr="00135007"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35007">
              <w:rPr>
                <w:rFonts w:eastAsia="Times New Roman" w:cstheme="minorHAnsi"/>
                <w:color w:val="000000"/>
                <w:sz w:val="20"/>
                <w:szCs w:val="20"/>
              </w:rPr>
              <w:t>50(78)</w:t>
            </w:r>
          </w:p>
        </w:tc>
        <w:tc>
          <w:tcPr>
            <w:tcW w:w="0" w:type="auto"/>
          </w:tcPr>
          <w:p w:rsidR="000060DA" w:rsidRPr="00135007" w:rsidRDefault="000060DA" w:rsidP="00201275">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35007">
              <w:rPr>
                <w:rFonts w:cstheme="minorHAnsi"/>
                <w:color w:val="000000"/>
                <w:sz w:val="20"/>
                <w:szCs w:val="20"/>
              </w:rPr>
              <w:t>36(88)</w:t>
            </w:r>
          </w:p>
        </w:tc>
        <w:tc>
          <w:tcPr>
            <w:tcW w:w="0" w:type="auto"/>
          </w:tcPr>
          <w:p w:rsidR="000060DA" w:rsidRPr="00135007"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37</w:t>
            </w:r>
          </w:p>
        </w:tc>
        <w:tc>
          <w:tcPr>
            <w:tcW w:w="0" w:type="auto"/>
          </w:tcPr>
          <w:p w:rsidR="000060DA" w:rsidRPr="00135007"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10</w:t>
            </w:r>
          </w:p>
        </w:tc>
        <w:tc>
          <w:tcPr>
            <w:tcW w:w="0" w:type="auto"/>
          </w:tcPr>
          <w:p w:rsidR="000060DA" w:rsidRPr="00135007"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27</w:t>
            </w:r>
          </w:p>
        </w:tc>
        <w:tc>
          <w:tcPr>
            <w:tcW w:w="0" w:type="auto"/>
          </w:tcPr>
          <w:p w:rsidR="000060DA" w:rsidRPr="00135007" w:rsidRDefault="000060DA" w:rsidP="00201275">
            <w:pPr>
              <w:keepNext/>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
                <w:sz w:val="20"/>
                <w:szCs w:val="20"/>
              </w:rPr>
            </w:pPr>
            <w:r w:rsidRPr="00135007">
              <w:rPr>
                <w:rFonts w:eastAsia="Times New Roman" w:cstheme="minorHAnsi"/>
                <w:bCs/>
                <w:i/>
                <w:sz w:val="20"/>
                <w:szCs w:val="20"/>
              </w:rPr>
              <w:t>p=0.576</w:t>
            </w:r>
          </w:p>
        </w:tc>
      </w:tr>
      <w:tr w:rsidR="000060DA" w:rsidRPr="00203296" w:rsidTr="00DA2CC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0060DA" w:rsidRPr="00135007" w:rsidRDefault="000060DA" w:rsidP="00201275">
            <w:pPr>
              <w:keepNext/>
              <w:spacing w:line="276" w:lineRule="auto"/>
              <w:contextualSpacing/>
              <w:rPr>
                <w:rFonts w:asciiTheme="minorHAnsi" w:eastAsia="Times New Roman" w:hAnsiTheme="minorHAnsi" w:cstheme="minorHAnsi"/>
                <w:b w:val="0"/>
                <w:bCs w:val="0"/>
                <w:sz w:val="20"/>
                <w:szCs w:val="20"/>
              </w:rPr>
            </w:pPr>
            <w:r w:rsidRPr="00135007">
              <w:rPr>
                <w:rFonts w:asciiTheme="minorHAnsi" w:eastAsia="Times New Roman" w:hAnsiTheme="minorHAnsi" w:cstheme="minorHAnsi"/>
                <w:b w:val="0"/>
                <w:sz w:val="20"/>
                <w:szCs w:val="20"/>
              </w:rPr>
              <w:t>Zinc tabs</w:t>
            </w:r>
          </w:p>
        </w:tc>
        <w:tc>
          <w:tcPr>
            <w:tcW w:w="0" w:type="auto"/>
          </w:tcPr>
          <w:p w:rsidR="000060DA" w:rsidRPr="00135007"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135007">
              <w:rPr>
                <w:rFonts w:eastAsia="Times New Roman" w:cstheme="minorHAnsi"/>
                <w:color w:val="000000"/>
                <w:sz w:val="20"/>
                <w:szCs w:val="20"/>
              </w:rPr>
              <w:t>6(6)</w:t>
            </w:r>
          </w:p>
        </w:tc>
        <w:tc>
          <w:tcPr>
            <w:tcW w:w="0" w:type="auto"/>
          </w:tcPr>
          <w:p w:rsidR="000060DA" w:rsidRPr="00135007"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135007">
              <w:rPr>
                <w:rFonts w:cstheme="minorHAnsi"/>
                <w:color w:val="000000"/>
                <w:sz w:val="20"/>
                <w:szCs w:val="20"/>
              </w:rPr>
              <w:t>28(62)</w:t>
            </w:r>
          </w:p>
        </w:tc>
        <w:tc>
          <w:tcPr>
            <w:tcW w:w="0" w:type="auto"/>
          </w:tcPr>
          <w:p w:rsidR="000060DA" w:rsidRPr="00135007"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135007">
              <w:rPr>
                <w:rFonts w:eastAsia="Times New Roman" w:cstheme="minorHAnsi"/>
                <w:color w:val="000000"/>
                <w:sz w:val="20"/>
                <w:szCs w:val="20"/>
              </w:rPr>
              <w:t>8(13)</w:t>
            </w:r>
          </w:p>
        </w:tc>
        <w:tc>
          <w:tcPr>
            <w:tcW w:w="0" w:type="auto"/>
          </w:tcPr>
          <w:p w:rsidR="000060DA" w:rsidRPr="00135007" w:rsidRDefault="000060DA" w:rsidP="00201275">
            <w:pPr>
              <w:keepNext/>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135007">
              <w:rPr>
                <w:rFonts w:cstheme="minorHAnsi"/>
                <w:color w:val="000000"/>
                <w:sz w:val="20"/>
                <w:szCs w:val="20"/>
              </w:rPr>
              <w:t>10(24)</w:t>
            </w:r>
          </w:p>
        </w:tc>
        <w:tc>
          <w:tcPr>
            <w:tcW w:w="0" w:type="auto"/>
          </w:tcPr>
          <w:p w:rsidR="000060DA" w:rsidRPr="00135007"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56</w:t>
            </w:r>
          </w:p>
        </w:tc>
        <w:tc>
          <w:tcPr>
            <w:tcW w:w="0" w:type="auto"/>
          </w:tcPr>
          <w:p w:rsidR="000060DA" w:rsidRPr="00135007"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11</w:t>
            </w:r>
          </w:p>
        </w:tc>
        <w:tc>
          <w:tcPr>
            <w:tcW w:w="0" w:type="auto"/>
          </w:tcPr>
          <w:p w:rsidR="000060DA" w:rsidRPr="00135007"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0"/>
              </w:rPr>
            </w:pPr>
            <w:r w:rsidRPr="00135007">
              <w:rPr>
                <w:rFonts w:eastAsia="Times New Roman" w:cstheme="minorHAnsi"/>
                <w:bCs/>
                <w:sz w:val="20"/>
                <w:szCs w:val="20"/>
              </w:rPr>
              <w:t>45</w:t>
            </w:r>
          </w:p>
        </w:tc>
        <w:tc>
          <w:tcPr>
            <w:tcW w:w="0" w:type="auto"/>
          </w:tcPr>
          <w:p w:rsidR="000060DA" w:rsidRPr="00203296" w:rsidRDefault="000060DA" w:rsidP="00201275">
            <w:pPr>
              <w:keepNext/>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i/>
                <w:sz w:val="20"/>
                <w:szCs w:val="20"/>
              </w:rPr>
            </w:pPr>
            <w:r w:rsidRPr="00203296">
              <w:rPr>
                <w:rFonts w:eastAsia="Times New Roman" w:cstheme="minorHAnsi"/>
                <w:b/>
                <w:bCs/>
                <w:i/>
                <w:sz w:val="20"/>
                <w:szCs w:val="20"/>
              </w:rPr>
              <w:t>p&lt;0.05</w:t>
            </w:r>
          </w:p>
        </w:tc>
      </w:tr>
    </w:tbl>
    <w:p w:rsidR="000060DA" w:rsidRDefault="000060DA" w:rsidP="000060DA">
      <w:pPr>
        <w:pStyle w:val="NoSpacing"/>
        <w:rPr>
          <w:rFonts w:eastAsia="Times New Roman"/>
          <w:sz w:val="20"/>
        </w:rPr>
      </w:pPr>
      <w:r w:rsidRPr="00F57F0D">
        <w:rPr>
          <w:rFonts w:eastAsia="Times New Roman"/>
          <w:sz w:val="20"/>
        </w:rPr>
        <w:t>*Difference between regions was statistically significant</w:t>
      </w:r>
    </w:p>
    <w:p w:rsidR="000060DA" w:rsidRDefault="000060DA" w:rsidP="000060DA">
      <w:pPr>
        <w:pStyle w:val="NoSpacing"/>
        <w:rPr>
          <w:rFonts w:eastAsia="Times New Roman"/>
        </w:rPr>
      </w:pPr>
    </w:p>
    <w:p w:rsidR="00416BA0" w:rsidRDefault="00416BA0" w:rsidP="00416BA0">
      <w:pPr>
        <w:spacing w:after="0" w:line="240" w:lineRule="auto"/>
        <w:rPr>
          <w:rFonts w:eastAsia="Times New Roman"/>
          <w:b/>
          <w:color w:val="984806" w:themeColor="accent6" w:themeShade="80"/>
        </w:rPr>
      </w:pPr>
      <w:r>
        <w:rPr>
          <w:rFonts w:eastAsia="Times New Roman"/>
          <w:b/>
          <w:color w:val="984806" w:themeColor="accent6" w:themeShade="80"/>
        </w:rPr>
        <w:pict>
          <v:rect id="_x0000_i1025" style="width:0;height:1.5pt" o:hralign="center" o:hrstd="t" o:hr="t" fillcolor="gray" stroked="f"/>
        </w:pict>
      </w:r>
    </w:p>
    <w:p w:rsidR="00416BA0" w:rsidRDefault="00416BA0" w:rsidP="00416BA0">
      <w:pPr>
        <w:spacing w:after="0" w:line="240" w:lineRule="auto"/>
      </w:pPr>
      <w:r w:rsidRPr="00416BA0">
        <w:rPr>
          <w:rFonts w:eastAsia="Times New Roman"/>
          <w:b/>
          <w:color w:val="984806" w:themeColor="accent6" w:themeShade="80"/>
        </w:rPr>
        <w:t>Presentation at ICIUM 2011</w:t>
      </w:r>
      <w:r>
        <w:t xml:space="preserve">: </w:t>
      </w:r>
      <w:hyperlink r:id="rId8" w:history="1">
        <w:r w:rsidRPr="00444F93">
          <w:rPr>
            <w:rStyle w:val="Hyperlink"/>
          </w:rPr>
          <w:t>http://www.inrud.org/ICIUM/ConferenceMaterials/1069-rutta-_b.ppt</w:t>
        </w:r>
      </w:hyperlink>
    </w:p>
    <w:p w:rsidR="00416BA0" w:rsidRPr="00416BA0" w:rsidRDefault="00416BA0" w:rsidP="000060DA">
      <w:pPr>
        <w:pStyle w:val="NoSpacing"/>
        <w:rPr>
          <w:rFonts w:eastAsia="Times New Roman"/>
          <w:b/>
          <w:color w:val="984806" w:themeColor="accent6" w:themeShade="80"/>
        </w:rPr>
      </w:pPr>
    </w:p>
    <w:p w:rsidR="000060DA" w:rsidRDefault="00416BA0" w:rsidP="000060DA">
      <w:r w:rsidRPr="00416BA0">
        <w:rPr>
          <w:b/>
          <w:color w:val="984806" w:themeColor="accent6" w:themeShade="80"/>
        </w:rPr>
        <w:t>Abstract</w:t>
      </w:r>
    </w:p>
    <w:p w:rsidR="00416BA0" w:rsidRDefault="00416BA0" w:rsidP="00416BA0">
      <w:pPr>
        <w:pStyle w:val="AID"/>
        <w:pBdr>
          <w:bottom w:val="single" w:sz="4" w:space="1" w:color="auto"/>
        </w:pBdr>
      </w:pPr>
      <w:r>
        <w:rPr>
          <w:noProof/>
        </w:rPr>
        <w:t>1069</w:t>
      </w:r>
    </w:p>
    <w:p w:rsidR="00416BA0" w:rsidRDefault="00416BA0" w:rsidP="00416BA0">
      <w:pPr>
        <w:pStyle w:val="ATitle"/>
        <w:rPr>
          <w:noProof/>
        </w:rPr>
      </w:pPr>
    </w:p>
    <w:p w:rsidR="00416BA0" w:rsidRDefault="00416BA0" w:rsidP="00416BA0">
      <w:pPr>
        <w:pStyle w:val="ATitle"/>
        <w:rPr>
          <w:rFonts w:asciiTheme="minorHAnsi" w:hAnsiTheme="minorHAnsi"/>
          <w:noProof/>
        </w:rPr>
      </w:pPr>
      <w:r>
        <w:rPr>
          <w:rFonts w:asciiTheme="minorHAnsi" w:hAnsiTheme="minorHAnsi"/>
          <w:noProof/>
        </w:rPr>
        <w:t>Can the Management of Uncomplicated Diarrhea at the ADDOs in Tanzania be Further Improved?</w:t>
      </w:r>
    </w:p>
    <w:p w:rsidR="00416BA0" w:rsidRPr="00416BA0" w:rsidRDefault="00416BA0" w:rsidP="00416BA0">
      <w:pPr>
        <w:pStyle w:val="ATitle"/>
        <w:rPr>
          <w:rFonts w:asciiTheme="minorHAnsi" w:hAnsiTheme="minorHAnsi"/>
        </w:rPr>
      </w:pPr>
    </w:p>
    <w:p w:rsidR="00416BA0" w:rsidRDefault="00416BA0" w:rsidP="00416BA0">
      <w:pPr>
        <w:pStyle w:val="AAuthor"/>
        <w:rPr>
          <w:rFonts w:asciiTheme="minorHAnsi" w:hAnsiTheme="minorHAnsi"/>
          <w:szCs w:val="24"/>
        </w:rPr>
      </w:pPr>
      <w:r>
        <w:rPr>
          <w:rFonts w:asciiTheme="minorHAnsi" w:hAnsiTheme="minorHAnsi"/>
          <w:noProof/>
          <w:szCs w:val="24"/>
        </w:rPr>
        <w:t>Rutta, Edmund R (1); Kimatta, Suleiman (1); Liana, Jafary (1); Philip, Amani (2); Johnson, Keith (1)</w:t>
      </w:r>
    </w:p>
    <w:p w:rsidR="00416BA0" w:rsidRDefault="00416BA0" w:rsidP="00416BA0">
      <w:pPr>
        <w:spacing w:after="0" w:line="240" w:lineRule="auto"/>
        <w:rPr>
          <w:lang w:val="en-GB"/>
        </w:rPr>
      </w:pPr>
    </w:p>
    <w:p w:rsidR="00416BA0" w:rsidRDefault="00416BA0" w:rsidP="00416BA0">
      <w:pPr>
        <w:pStyle w:val="AOrganization"/>
        <w:rPr>
          <w:rFonts w:asciiTheme="minorHAnsi" w:hAnsiTheme="minorHAnsi"/>
          <w:szCs w:val="24"/>
          <w:lang w:val="en-US"/>
        </w:rPr>
      </w:pPr>
      <w:r>
        <w:rPr>
          <w:rFonts w:asciiTheme="minorHAnsi" w:hAnsiTheme="minorHAnsi"/>
          <w:noProof/>
          <w:szCs w:val="24"/>
          <w:lang w:val="en-US"/>
        </w:rPr>
        <w:t>1: Management Sciences for Health 2: Tanzania Food and Drugs Authority</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Problem statement:</w:t>
      </w:r>
      <w:r>
        <w:rPr>
          <w:noProof/>
          <w:lang w:val="en-GB"/>
        </w:rPr>
        <w:t xml:space="preserve"> The accredited drug dispensing outlet (ADDO) program has increased access to affordable quality medicines and pharmaceutical services in retail drug outlets in underserved areas of Tanzania. Program monitoring and evaluation have showed improved medicine availability and dispensing; however, anecdotal evidence suggested continuing problems with diarrhea management.</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 xml:space="preserve">Objective: </w:t>
      </w:r>
      <w:r>
        <w:rPr>
          <w:noProof/>
          <w:lang w:val="en-GB"/>
        </w:rPr>
        <w:t>To determine how ADDO dispensers manage uncomplicated diarrhea in children under five</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Design:</w:t>
      </w:r>
      <w:r>
        <w:rPr>
          <w:noProof/>
          <w:lang w:val="en-GB"/>
        </w:rPr>
        <w:t xml:space="preserve"> Quantitative data collection was performed in 2010  using a mystery shopper scenario in the Ruvuma region, where the program had operated for seven years, in the Singida region with one year of ADDO operations, and in the Mara region, which had no ADDOs (control). Ruvuma data from 2004 came from a retrospective record review.</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Setting:</w:t>
      </w:r>
      <w:r>
        <w:rPr>
          <w:noProof/>
          <w:lang w:val="en-GB"/>
        </w:rPr>
        <w:t xml:space="preserve"> 30 randomly selected ADDOs from Ruvuma, 60 each in Singida and in Mara</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Intervention:</w:t>
      </w:r>
      <w:r>
        <w:rPr>
          <w:noProof/>
          <w:lang w:val="en-GB"/>
        </w:rPr>
        <w:t xml:space="preserve"> Ruvuma and Singida dispensers received training in 2003 and 2009, respectively, on how to manage uncomplicated diarrhea in children under five as part of ADDO accreditation. ADDO dispensers in both regions received supportive supervision on diarrhea management. Drug shop workers in Mara received no training or supervision.</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Outcome measures:</w:t>
      </w:r>
      <w:r>
        <w:rPr>
          <w:noProof/>
          <w:lang w:val="en-GB"/>
        </w:rPr>
        <w:t xml:space="preserve"> Percentage of uncomplicated diarrhea encounters in which antibiotics or appropriate treatment using oral rehydration solution were dispensed</w:t>
      </w:r>
    </w:p>
    <w:p w:rsidR="00416BA0" w:rsidRDefault="00416BA0" w:rsidP="00416BA0">
      <w:pPr>
        <w:spacing w:after="0" w:line="240" w:lineRule="auto"/>
        <w:rPr>
          <w:b/>
          <w:noProof/>
          <w:lang w:val="en-GB"/>
        </w:rPr>
      </w:pPr>
    </w:p>
    <w:p w:rsidR="00416BA0" w:rsidRDefault="00416BA0" w:rsidP="00416BA0">
      <w:pPr>
        <w:spacing w:after="0" w:line="240" w:lineRule="auto"/>
        <w:rPr>
          <w:noProof/>
          <w:lang w:val="en-GB"/>
        </w:rPr>
      </w:pPr>
      <w:r>
        <w:rPr>
          <w:b/>
          <w:noProof/>
          <w:lang w:val="en-GB"/>
        </w:rPr>
        <w:t>Results:</w:t>
      </w:r>
      <w:r>
        <w:rPr>
          <w:noProof/>
          <w:lang w:val="en-GB"/>
        </w:rPr>
        <w:t xml:space="preserve"> In Ruvuma in 2010, cases managed according to treatment guidelines did not change from the 2004 levels of 29%; in Singida, the percentage of encounters in which uncomplicated diarrhea was managed appropriately rose from 20% at baseline in 2009 to 42% at endline; no change was observed in Mara (25% at baseline compared with 27% at endline). The percentage of uncomplicated diarrhea encounters that included dispensing of an antibiotic declined from 98% at baseline to 76% at endline in Singida, while it remained constant in Mara (87% at baseline and 84% at endline). The percentage of diarrhea cases in which metronidazole was dispensed by ADDOs in Ruvuma declined from 53% in 2004 to 42% in 2010.</w:t>
      </w:r>
    </w:p>
    <w:p w:rsidR="00416BA0" w:rsidRDefault="00416BA0" w:rsidP="00416BA0">
      <w:pPr>
        <w:spacing w:after="0" w:line="240" w:lineRule="auto"/>
        <w:rPr>
          <w:noProof/>
          <w:lang w:val="en-GB"/>
        </w:rPr>
      </w:pPr>
    </w:p>
    <w:p w:rsidR="00416BA0" w:rsidRDefault="00416BA0" w:rsidP="00416BA0">
      <w:pPr>
        <w:spacing w:after="0" w:line="240" w:lineRule="auto"/>
        <w:rPr>
          <w:noProof/>
          <w:lang w:val="en-GB"/>
        </w:rPr>
      </w:pPr>
      <w:r>
        <w:rPr>
          <w:b/>
          <w:noProof/>
          <w:lang w:val="en-GB"/>
        </w:rPr>
        <w:t>Conclusions:</w:t>
      </w:r>
      <w:r>
        <w:rPr>
          <w:noProof/>
          <w:lang w:val="en-GB"/>
        </w:rPr>
        <w:t xml:space="preserve"> Managing uncomplicated diarrhea with oral rehydration solution increased and antibiotic dispensing decreased after the ADDO intervention in Ruvuma and Singida; however, practices still fall well short of the recommended national treatment guidelines. Qualitative research suggests that other factors beyond ADDO dispensing skills and knowledge may fuel these practices, such as the prescribing practices at public and private health facilities, consumer pressure and preference for metronidazole, and profit motive. Stakeholders recommended further assessments to understand the ADDO dispenser/health facility prescribers and consumer dynamics and its impact on antibiotics use in diarrhea management.</w:t>
      </w:r>
    </w:p>
    <w:p w:rsidR="00416BA0" w:rsidRDefault="00416BA0" w:rsidP="00416BA0">
      <w:pPr>
        <w:spacing w:after="0" w:line="240" w:lineRule="auto"/>
        <w:rPr>
          <w:b/>
          <w:lang w:val="en-GB"/>
        </w:rPr>
      </w:pPr>
    </w:p>
    <w:p w:rsidR="00416BA0" w:rsidRDefault="00416BA0" w:rsidP="00416BA0">
      <w:pPr>
        <w:spacing w:after="0" w:line="240" w:lineRule="auto"/>
      </w:pPr>
      <w:r>
        <w:rPr>
          <w:b/>
          <w:lang w:val="en-GB"/>
        </w:rPr>
        <w:t>Funding source:</w:t>
      </w:r>
      <w:r>
        <w:rPr>
          <w:lang w:val="en-GB"/>
        </w:rPr>
        <w:t xml:space="preserve"> </w:t>
      </w:r>
      <w:r>
        <w:t xml:space="preserve"> Management Sciences for Health/East African Drug Seller Initiative, funded by a grant from the Bill &amp; Melinda Gates Foundation</w:t>
      </w:r>
    </w:p>
    <w:p w:rsidR="00416BA0" w:rsidRDefault="00416BA0" w:rsidP="00416BA0">
      <w:pPr>
        <w:spacing w:after="0" w:line="240" w:lineRule="auto"/>
      </w:pPr>
    </w:p>
    <w:p w:rsidR="00416BA0" w:rsidRPr="00416BA0" w:rsidRDefault="00416BA0" w:rsidP="00416BA0">
      <w:pPr>
        <w:spacing w:after="0" w:line="240" w:lineRule="auto"/>
        <w:rPr>
          <w:lang w:val="en-CA"/>
        </w:rPr>
      </w:pPr>
    </w:p>
    <w:sectPr w:rsidR="00416BA0" w:rsidRPr="0041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emilight">
    <w:altName w:val="Arial"/>
    <w:charset w:val="00"/>
    <w:family w:val="swiss"/>
    <w:pitch w:val="variable"/>
    <w:sig w:usb0="00000000"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5F5"/>
    <w:multiLevelType w:val="hybridMultilevel"/>
    <w:tmpl w:val="9238F0AC"/>
    <w:lvl w:ilvl="0" w:tplc="04090001">
      <w:start w:val="1"/>
      <w:numFmt w:val="bullet"/>
      <w:pStyle w:val="Bulletlevel1"/>
      <w:lvlText w:val=""/>
      <w:lvlJc w:val="left"/>
      <w:pPr>
        <w:ind w:left="720" w:hanging="360"/>
      </w:pPr>
      <w:rPr>
        <w:rFonts w:ascii="Symbol" w:hAnsi="Symbol" w:hint="default"/>
      </w:rPr>
    </w:lvl>
    <w:lvl w:ilvl="1" w:tplc="9E7A2738">
      <w:start w:val="1"/>
      <w:numFmt w:val="bullet"/>
      <w:lvlText w:val="o"/>
      <w:lvlJc w:val="left"/>
      <w:pPr>
        <w:ind w:left="1440" w:hanging="360"/>
      </w:pPr>
      <w:rPr>
        <w:rFonts w:ascii="Courier New" w:hAnsi="Courier New" w:cs="Courier New" w:hint="default"/>
      </w:rPr>
    </w:lvl>
    <w:lvl w:ilvl="2" w:tplc="B06004A2">
      <w:start w:val="1"/>
      <w:numFmt w:val="bullet"/>
      <w:pStyle w:val="Bullet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2DBD"/>
    <w:multiLevelType w:val="hybridMultilevel"/>
    <w:tmpl w:val="D6A0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63020"/>
    <w:multiLevelType w:val="hybridMultilevel"/>
    <w:tmpl w:val="66CE7776"/>
    <w:lvl w:ilvl="0" w:tplc="903A7A6C">
      <w:start w:val="1"/>
      <w:numFmt w:val="bullet"/>
      <w:lvlText w:val=""/>
      <w:lvlJc w:val="left"/>
      <w:pPr>
        <w:ind w:left="720" w:hanging="360"/>
      </w:pPr>
      <w:rPr>
        <w:rFonts w:ascii="SymbolPS" w:hAnsi="SymbolPS" w:hint="default"/>
      </w:rPr>
    </w:lvl>
    <w:lvl w:ilvl="1" w:tplc="04090003">
      <w:start w:val="1"/>
      <w:numFmt w:val="bullet"/>
      <w:lvlText w:val="o"/>
      <w:lvlJc w:val="left"/>
      <w:pPr>
        <w:ind w:left="1440" w:hanging="360"/>
      </w:pPr>
      <w:rPr>
        <w:rFonts w:ascii="Courier New" w:hAnsi="Courier New" w:cs="SymbolP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P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P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75C2"/>
    <w:multiLevelType w:val="hybridMultilevel"/>
    <w:tmpl w:val="97B69718"/>
    <w:lvl w:ilvl="0" w:tplc="D9285AF8">
      <w:start w:val="1"/>
      <w:numFmt w:val="bullet"/>
      <w:pStyle w:val="Bullet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DA"/>
    <w:rsid w:val="000060DA"/>
    <w:rsid w:val="000650D2"/>
    <w:rsid w:val="00416BA0"/>
    <w:rsid w:val="008208AA"/>
    <w:rsid w:val="00A8656B"/>
    <w:rsid w:val="00DA2CC6"/>
    <w:rsid w:val="00E81864"/>
    <w:rsid w:val="00EF6B8F"/>
    <w:rsid w:val="00F0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DA"/>
    <w:rPr>
      <w:rFonts w:eastAsiaTheme="minorEastAsia"/>
    </w:rPr>
  </w:style>
  <w:style w:type="paragraph" w:styleId="Heading1">
    <w:name w:val="heading 1"/>
    <w:basedOn w:val="Normal"/>
    <w:next w:val="Normal"/>
    <w:link w:val="Heading1Char"/>
    <w:uiPriority w:val="9"/>
    <w:qFormat/>
    <w:rsid w:val="00F01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15C9"/>
    <w:pPr>
      <w:keepNext/>
      <w:keepLines/>
      <w:spacing w:before="40"/>
      <w:jc w:val="center"/>
      <w:outlineLvl w:val="1"/>
    </w:pPr>
    <w:rPr>
      <w:rFonts w:ascii="Segoe UI Semilight" w:eastAsiaTheme="majorEastAsia" w:hAnsi="Segoe UI Semilight" w:cs="Segoe UI Semilight"/>
      <w:color w:val="365F91" w:themeColor="accent1" w:themeShade="BF"/>
      <w:sz w:val="44"/>
      <w:szCs w:val="44"/>
      <w:lang w:val="en-GB"/>
    </w:rPr>
  </w:style>
  <w:style w:type="paragraph" w:styleId="Heading3">
    <w:name w:val="heading 3"/>
    <w:basedOn w:val="Normal"/>
    <w:next w:val="Normal"/>
    <w:link w:val="Heading3Char"/>
    <w:uiPriority w:val="9"/>
    <w:unhideWhenUsed/>
    <w:qFormat/>
    <w:rsid w:val="00F015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15C9"/>
    <w:pPr>
      <w:keepNext/>
      <w:spacing w:after="120"/>
      <w:outlineLvl w:val="3"/>
    </w:pPr>
    <w:rPr>
      <w:rFonts w:ascii="Calibri" w:eastAsia="Times New Roman" w:hAnsi="Calibri"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5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15C9"/>
    <w:rPr>
      <w:rFonts w:ascii="Segoe UI Semilight" w:eastAsiaTheme="majorEastAsia" w:hAnsi="Segoe UI Semilight" w:cs="Segoe UI Semilight"/>
      <w:color w:val="365F91" w:themeColor="accent1" w:themeShade="BF"/>
      <w:sz w:val="44"/>
      <w:szCs w:val="44"/>
      <w:lang w:val="en-GB"/>
    </w:rPr>
  </w:style>
  <w:style w:type="character" w:customStyle="1" w:styleId="Heading3Char">
    <w:name w:val="Heading 3 Char"/>
    <w:basedOn w:val="DefaultParagraphFont"/>
    <w:link w:val="Heading3"/>
    <w:uiPriority w:val="9"/>
    <w:rsid w:val="00F015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15C9"/>
    <w:rPr>
      <w:rFonts w:ascii="Calibri" w:eastAsia="Times New Roman" w:hAnsi="Calibri" w:cs="Times New Roman"/>
      <w:b/>
      <w:bCs/>
      <w:i/>
      <w:szCs w:val="28"/>
    </w:rPr>
  </w:style>
  <w:style w:type="paragraph" w:customStyle="1" w:styleId="Bullets">
    <w:name w:val="Bullets"/>
    <w:basedOn w:val="Normal"/>
    <w:rsid w:val="00F015C9"/>
    <w:pPr>
      <w:numPr>
        <w:numId w:val="1"/>
      </w:numPr>
      <w:spacing w:after="120"/>
    </w:pPr>
    <w:rPr>
      <w:rFonts w:eastAsia="Times New Roman" w:cs="Times New Roman"/>
      <w:szCs w:val="24"/>
    </w:rPr>
  </w:style>
  <w:style w:type="paragraph" w:styleId="Caption">
    <w:name w:val="caption"/>
    <w:basedOn w:val="Normal"/>
    <w:next w:val="Normal"/>
    <w:uiPriority w:val="35"/>
    <w:unhideWhenUsed/>
    <w:qFormat/>
    <w:rsid w:val="00F015C9"/>
    <w:rPr>
      <w:rFonts w:ascii="Gill Sans MT" w:hAnsi="Gill Sans MT" w:cs="Segoe UI Semilight"/>
      <w:i/>
      <w:iCs/>
      <w:color w:val="984806" w:themeColor="accent6" w:themeShade="80"/>
      <w:sz w:val="24"/>
      <w:szCs w:val="24"/>
      <w:lang w:val="en-GB"/>
    </w:rPr>
  </w:style>
  <w:style w:type="paragraph" w:customStyle="1" w:styleId="Bulletlevel1">
    <w:name w:val="Bullet level 1"/>
    <w:basedOn w:val="Normal"/>
    <w:link w:val="Bulletlevel1Char"/>
    <w:qFormat/>
    <w:rsid w:val="00F015C9"/>
    <w:pPr>
      <w:numPr>
        <w:numId w:val="5"/>
      </w:numPr>
      <w:jc w:val="both"/>
    </w:pPr>
    <w:rPr>
      <w:rFonts w:eastAsia="Times New Roman" w:cs="Times New Roman"/>
      <w:sz w:val="24"/>
      <w:szCs w:val="24"/>
      <w:lang w:val="da-DK"/>
    </w:rPr>
  </w:style>
  <w:style w:type="character" w:customStyle="1" w:styleId="Bulletlevel1Char">
    <w:name w:val="Bullet level 1 Char"/>
    <w:basedOn w:val="DefaultParagraphFont"/>
    <w:link w:val="Bulletlevel1"/>
    <w:rsid w:val="00F015C9"/>
    <w:rPr>
      <w:rFonts w:ascii="Times New Roman" w:eastAsia="Times New Roman" w:hAnsi="Times New Roman" w:cs="Times New Roman"/>
      <w:sz w:val="24"/>
      <w:szCs w:val="24"/>
      <w:lang w:val="da-DK"/>
    </w:rPr>
  </w:style>
  <w:style w:type="paragraph" w:customStyle="1" w:styleId="H1">
    <w:name w:val="H1"/>
    <w:basedOn w:val="TOCHeading"/>
    <w:qFormat/>
    <w:rsid w:val="00F015C9"/>
    <w:rPr>
      <w:rFonts w:eastAsia="Times New Roman" w:cs="Times New Roman"/>
    </w:rPr>
  </w:style>
  <w:style w:type="paragraph" w:styleId="TOCHeading">
    <w:name w:val="TOC Heading"/>
    <w:basedOn w:val="Heading1"/>
    <w:next w:val="Normal"/>
    <w:uiPriority w:val="39"/>
    <w:semiHidden/>
    <w:unhideWhenUsed/>
    <w:qFormat/>
    <w:rsid w:val="00F015C9"/>
    <w:pPr>
      <w:shd w:val="clear" w:color="auto" w:fill="788E1E"/>
      <w:spacing w:before="120" w:after="120"/>
      <w:outlineLvl w:val="9"/>
    </w:pPr>
    <w:rPr>
      <w:rFonts w:ascii="Calibri" w:hAnsi="Calibri"/>
      <w:color w:val="FFFFFF"/>
      <w:sz w:val="22"/>
    </w:rPr>
  </w:style>
  <w:style w:type="paragraph" w:customStyle="1" w:styleId="H2">
    <w:name w:val="H2"/>
    <w:basedOn w:val="Heading2"/>
    <w:qFormat/>
    <w:rsid w:val="00F015C9"/>
    <w:pPr>
      <w:keepLines w:val="0"/>
      <w:spacing w:before="120" w:after="60"/>
      <w:jc w:val="left"/>
    </w:pPr>
    <w:rPr>
      <w:rFonts w:ascii="Calibri" w:hAnsi="Calibri" w:cs="Arial"/>
      <w:b/>
      <w:bCs/>
      <w:iCs/>
      <w:caps/>
      <w:color w:val="C15E03"/>
      <w:sz w:val="22"/>
      <w:szCs w:val="28"/>
      <w:lang w:val="en-US"/>
    </w:rPr>
  </w:style>
  <w:style w:type="paragraph" w:customStyle="1" w:styleId="Bullet4">
    <w:name w:val="Bullet 4"/>
    <w:basedOn w:val="Heading4"/>
    <w:qFormat/>
    <w:rsid w:val="00F015C9"/>
    <w:pPr>
      <w:numPr>
        <w:ilvl w:val="2"/>
        <w:numId w:val="5"/>
      </w:numPr>
    </w:pPr>
  </w:style>
  <w:style w:type="paragraph" w:customStyle="1" w:styleId="Figure">
    <w:name w:val="Figure"/>
    <w:basedOn w:val="Normal"/>
    <w:qFormat/>
    <w:rsid w:val="00F015C9"/>
    <w:rPr>
      <w:rFonts w:ascii="Gill Sans MT" w:hAnsi="Gill Sans MT"/>
      <w:b/>
      <w:color w:val="984806" w:themeColor="accent6" w:themeShade="80"/>
    </w:rPr>
  </w:style>
  <w:style w:type="paragraph" w:customStyle="1" w:styleId="H3">
    <w:name w:val="H 3"/>
    <w:basedOn w:val="Normal"/>
    <w:link w:val="H3Char"/>
    <w:qFormat/>
    <w:rsid w:val="00F015C9"/>
    <w:rPr>
      <w:rFonts w:ascii="Calibri" w:eastAsia="MS Mincho" w:hAnsi="Calibri" w:cs="Arial"/>
      <w:b/>
      <w:bCs/>
      <w:szCs w:val="26"/>
    </w:rPr>
  </w:style>
  <w:style w:type="character" w:customStyle="1" w:styleId="H3Char">
    <w:name w:val="H 3 Char"/>
    <w:basedOn w:val="DefaultParagraphFont"/>
    <w:link w:val="H3"/>
    <w:rsid w:val="00F015C9"/>
    <w:rPr>
      <w:rFonts w:ascii="Calibri" w:eastAsia="MS Mincho" w:hAnsi="Calibri" w:cs="Arial"/>
      <w:b/>
      <w:bCs/>
      <w:szCs w:val="26"/>
    </w:rPr>
  </w:style>
  <w:style w:type="paragraph" w:customStyle="1" w:styleId="Box">
    <w:name w:val="Box"/>
    <w:basedOn w:val="Normal"/>
    <w:link w:val="BoxChar"/>
    <w:qFormat/>
    <w:rsid w:val="00F015C9"/>
    <w:pPr>
      <w:shd w:val="clear" w:color="auto" w:fill="D6E3BC" w:themeFill="accent3" w:themeFillTint="66"/>
    </w:pPr>
    <w:rPr>
      <w:rFonts w:ascii="Gill Sans MT" w:hAnsi="Gill Sans MT"/>
      <w:sz w:val="20"/>
    </w:rPr>
  </w:style>
  <w:style w:type="character" w:customStyle="1" w:styleId="BoxChar">
    <w:name w:val="Box Char"/>
    <w:basedOn w:val="DefaultParagraphFont"/>
    <w:link w:val="Box"/>
    <w:rsid w:val="00F015C9"/>
    <w:rPr>
      <w:rFonts w:ascii="Gill Sans MT" w:hAnsi="Gill Sans MT"/>
      <w:sz w:val="20"/>
      <w:shd w:val="clear" w:color="auto" w:fill="D6E3BC" w:themeFill="accent3" w:themeFillTint="66"/>
    </w:rPr>
  </w:style>
  <w:style w:type="paragraph" w:styleId="ListParagraph">
    <w:name w:val="List Paragraph"/>
    <w:basedOn w:val="Normal"/>
    <w:autoRedefine/>
    <w:uiPriority w:val="34"/>
    <w:qFormat/>
    <w:rsid w:val="00F015C9"/>
    <w:pPr>
      <w:ind w:left="720"/>
      <w:contextualSpacing/>
    </w:pPr>
  </w:style>
  <w:style w:type="paragraph" w:customStyle="1" w:styleId="Default">
    <w:name w:val="Default"/>
    <w:rsid w:val="000060DA"/>
    <w:pPr>
      <w:autoSpaceDE w:val="0"/>
      <w:autoSpaceDN w:val="0"/>
      <w:adjustRightInd w:val="0"/>
      <w:spacing w:after="0" w:line="240" w:lineRule="auto"/>
    </w:pPr>
    <w:rPr>
      <w:rFonts w:ascii="Arial" w:eastAsiaTheme="minorEastAsia" w:hAnsi="Arial" w:cs="Arial"/>
      <w:color w:val="000000"/>
      <w:sz w:val="24"/>
      <w:szCs w:val="24"/>
    </w:rPr>
  </w:style>
  <w:style w:type="table" w:styleId="LightGrid-Accent2">
    <w:name w:val="Light Grid Accent 2"/>
    <w:basedOn w:val="TableNormal"/>
    <w:uiPriority w:val="62"/>
    <w:rsid w:val="000060DA"/>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H30">
    <w:name w:val="H3"/>
    <w:basedOn w:val="NoSpacing"/>
    <w:link w:val="H3Char0"/>
    <w:qFormat/>
    <w:rsid w:val="000060DA"/>
    <w:pPr>
      <w:spacing w:line="360" w:lineRule="auto"/>
    </w:pPr>
    <w:rPr>
      <w:b/>
      <w:i/>
    </w:rPr>
  </w:style>
  <w:style w:type="character" w:customStyle="1" w:styleId="H3Char0">
    <w:name w:val="H3 Char"/>
    <w:basedOn w:val="DefaultParagraphFont"/>
    <w:link w:val="H30"/>
    <w:rsid w:val="000060DA"/>
    <w:rPr>
      <w:rFonts w:eastAsiaTheme="minorEastAsia"/>
      <w:b/>
      <w:i/>
    </w:rPr>
  </w:style>
  <w:style w:type="paragraph" w:styleId="NoSpacing">
    <w:name w:val="No Spacing"/>
    <w:link w:val="NoSpacingChar"/>
    <w:uiPriority w:val="1"/>
    <w:qFormat/>
    <w:rsid w:val="000060DA"/>
    <w:pPr>
      <w:spacing w:after="0" w:line="240" w:lineRule="auto"/>
    </w:pPr>
    <w:rPr>
      <w:rFonts w:eastAsiaTheme="minorEastAsia"/>
    </w:rPr>
  </w:style>
  <w:style w:type="paragraph" w:styleId="BalloonText">
    <w:name w:val="Balloon Text"/>
    <w:basedOn w:val="Normal"/>
    <w:link w:val="BalloonTextChar"/>
    <w:uiPriority w:val="99"/>
    <w:semiHidden/>
    <w:unhideWhenUsed/>
    <w:rsid w:val="000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DA"/>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0060DA"/>
    <w:rPr>
      <w:rFonts w:eastAsiaTheme="minorEastAsia"/>
    </w:rPr>
  </w:style>
  <w:style w:type="table" w:styleId="LightGrid-Accent6">
    <w:name w:val="Light Grid Accent 6"/>
    <w:basedOn w:val="TableNormal"/>
    <w:uiPriority w:val="62"/>
    <w:rsid w:val="008208A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DA2C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Author">
    <w:name w:val="A. 'Author'"/>
    <w:basedOn w:val="Normal"/>
    <w:qFormat/>
    <w:rsid w:val="00416BA0"/>
    <w:pPr>
      <w:spacing w:after="0" w:line="240" w:lineRule="auto"/>
    </w:pPr>
    <w:rPr>
      <w:rFonts w:ascii="Times" w:eastAsia="Times New Roman" w:hAnsi="Times" w:cs="Tahoma"/>
      <w:b/>
      <w:color w:val="000000"/>
      <w:sz w:val="24"/>
      <w:szCs w:val="17"/>
    </w:rPr>
  </w:style>
  <w:style w:type="paragraph" w:customStyle="1" w:styleId="AEmail">
    <w:name w:val="A. Email"/>
    <w:basedOn w:val="Normal"/>
    <w:qFormat/>
    <w:rsid w:val="00416BA0"/>
    <w:pPr>
      <w:spacing w:after="0" w:line="240" w:lineRule="auto"/>
    </w:pPr>
    <w:rPr>
      <w:rFonts w:ascii="Times New Roman" w:eastAsia="Times New Roman" w:hAnsi="Times New Roman" w:cs="Times New Roman"/>
      <w:sz w:val="24"/>
      <w:szCs w:val="24"/>
    </w:rPr>
  </w:style>
  <w:style w:type="paragraph" w:customStyle="1" w:styleId="AID">
    <w:name w:val="A. ID"/>
    <w:basedOn w:val="Normal"/>
    <w:qFormat/>
    <w:rsid w:val="00416BA0"/>
    <w:pPr>
      <w:spacing w:after="0" w:line="240" w:lineRule="auto"/>
      <w:jc w:val="right"/>
    </w:pPr>
    <w:rPr>
      <w:rFonts w:ascii="Arial" w:eastAsia="Times New Roman" w:hAnsi="Arial" w:cs="Arial"/>
      <w:b/>
      <w:bCs/>
      <w:sz w:val="24"/>
      <w:szCs w:val="24"/>
    </w:rPr>
  </w:style>
  <w:style w:type="paragraph" w:customStyle="1" w:styleId="AOrganization">
    <w:name w:val="A. Organization"/>
    <w:basedOn w:val="Heading2"/>
    <w:qFormat/>
    <w:rsid w:val="00416BA0"/>
    <w:pPr>
      <w:keepNext w:val="0"/>
      <w:keepLines w:val="0"/>
      <w:spacing w:before="0" w:after="0" w:line="240" w:lineRule="auto"/>
      <w:jc w:val="left"/>
    </w:pPr>
    <w:rPr>
      <w:rFonts w:ascii="Times New Roman" w:eastAsia="Times New Roman" w:hAnsi="Times New Roman" w:cs="Arial"/>
      <w:bCs/>
      <w:iCs/>
      <w:color w:val="000000"/>
      <w:sz w:val="24"/>
      <w:szCs w:val="22"/>
      <w:lang w:val="es-CR"/>
    </w:rPr>
  </w:style>
  <w:style w:type="paragraph" w:customStyle="1" w:styleId="ATitle">
    <w:name w:val="A. Title"/>
    <w:basedOn w:val="Normal"/>
    <w:qFormat/>
    <w:rsid w:val="00416BA0"/>
    <w:pPr>
      <w:spacing w:after="0" w:line="240" w:lineRule="auto"/>
    </w:pPr>
    <w:rPr>
      <w:rFonts w:ascii="Arial" w:eastAsia="Times New Roman" w:hAnsi="Arial" w:cs="Arial"/>
      <w:b/>
      <w:color w:val="000000"/>
      <w:sz w:val="24"/>
      <w:szCs w:val="24"/>
    </w:rPr>
  </w:style>
  <w:style w:type="character" w:styleId="Hyperlink">
    <w:name w:val="Hyperlink"/>
    <w:basedOn w:val="DefaultParagraphFont"/>
    <w:uiPriority w:val="99"/>
    <w:unhideWhenUsed/>
    <w:rsid w:val="00416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DA"/>
    <w:rPr>
      <w:rFonts w:eastAsiaTheme="minorEastAsia"/>
    </w:rPr>
  </w:style>
  <w:style w:type="paragraph" w:styleId="Heading1">
    <w:name w:val="heading 1"/>
    <w:basedOn w:val="Normal"/>
    <w:next w:val="Normal"/>
    <w:link w:val="Heading1Char"/>
    <w:uiPriority w:val="9"/>
    <w:qFormat/>
    <w:rsid w:val="00F01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15C9"/>
    <w:pPr>
      <w:keepNext/>
      <w:keepLines/>
      <w:spacing w:before="40"/>
      <w:jc w:val="center"/>
      <w:outlineLvl w:val="1"/>
    </w:pPr>
    <w:rPr>
      <w:rFonts w:ascii="Segoe UI Semilight" w:eastAsiaTheme="majorEastAsia" w:hAnsi="Segoe UI Semilight" w:cs="Segoe UI Semilight"/>
      <w:color w:val="365F91" w:themeColor="accent1" w:themeShade="BF"/>
      <w:sz w:val="44"/>
      <w:szCs w:val="44"/>
      <w:lang w:val="en-GB"/>
    </w:rPr>
  </w:style>
  <w:style w:type="paragraph" w:styleId="Heading3">
    <w:name w:val="heading 3"/>
    <w:basedOn w:val="Normal"/>
    <w:next w:val="Normal"/>
    <w:link w:val="Heading3Char"/>
    <w:uiPriority w:val="9"/>
    <w:unhideWhenUsed/>
    <w:qFormat/>
    <w:rsid w:val="00F015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15C9"/>
    <w:pPr>
      <w:keepNext/>
      <w:spacing w:after="120"/>
      <w:outlineLvl w:val="3"/>
    </w:pPr>
    <w:rPr>
      <w:rFonts w:ascii="Calibri" w:eastAsia="Times New Roman" w:hAnsi="Calibri"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5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15C9"/>
    <w:rPr>
      <w:rFonts w:ascii="Segoe UI Semilight" w:eastAsiaTheme="majorEastAsia" w:hAnsi="Segoe UI Semilight" w:cs="Segoe UI Semilight"/>
      <w:color w:val="365F91" w:themeColor="accent1" w:themeShade="BF"/>
      <w:sz w:val="44"/>
      <w:szCs w:val="44"/>
      <w:lang w:val="en-GB"/>
    </w:rPr>
  </w:style>
  <w:style w:type="character" w:customStyle="1" w:styleId="Heading3Char">
    <w:name w:val="Heading 3 Char"/>
    <w:basedOn w:val="DefaultParagraphFont"/>
    <w:link w:val="Heading3"/>
    <w:uiPriority w:val="9"/>
    <w:rsid w:val="00F015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15C9"/>
    <w:rPr>
      <w:rFonts w:ascii="Calibri" w:eastAsia="Times New Roman" w:hAnsi="Calibri" w:cs="Times New Roman"/>
      <w:b/>
      <w:bCs/>
      <w:i/>
      <w:szCs w:val="28"/>
    </w:rPr>
  </w:style>
  <w:style w:type="paragraph" w:customStyle="1" w:styleId="Bullets">
    <w:name w:val="Bullets"/>
    <w:basedOn w:val="Normal"/>
    <w:rsid w:val="00F015C9"/>
    <w:pPr>
      <w:numPr>
        <w:numId w:val="1"/>
      </w:numPr>
      <w:spacing w:after="120"/>
    </w:pPr>
    <w:rPr>
      <w:rFonts w:eastAsia="Times New Roman" w:cs="Times New Roman"/>
      <w:szCs w:val="24"/>
    </w:rPr>
  </w:style>
  <w:style w:type="paragraph" w:styleId="Caption">
    <w:name w:val="caption"/>
    <w:basedOn w:val="Normal"/>
    <w:next w:val="Normal"/>
    <w:uiPriority w:val="35"/>
    <w:unhideWhenUsed/>
    <w:qFormat/>
    <w:rsid w:val="00F015C9"/>
    <w:rPr>
      <w:rFonts w:ascii="Gill Sans MT" w:hAnsi="Gill Sans MT" w:cs="Segoe UI Semilight"/>
      <w:i/>
      <w:iCs/>
      <w:color w:val="984806" w:themeColor="accent6" w:themeShade="80"/>
      <w:sz w:val="24"/>
      <w:szCs w:val="24"/>
      <w:lang w:val="en-GB"/>
    </w:rPr>
  </w:style>
  <w:style w:type="paragraph" w:customStyle="1" w:styleId="Bulletlevel1">
    <w:name w:val="Bullet level 1"/>
    <w:basedOn w:val="Normal"/>
    <w:link w:val="Bulletlevel1Char"/>
    <w:qFormat/>
    <w:rsid w:val="00F015C9"/>
    <w:pPr>
      <w:numPr>
        <w:numId w:val="5"/>
      </w:numPr>
      <w:jc w:val="both"/>
    </w:pPr>
    <w:rPr>
      <w:rFonts w:eastAsia="Times New Roman" w:cs="Times New Roman"/>
      <w:sz w:val="24"/>
      <w:szCs w:val="24"/>
      <w:lang w:val="da-DK"/>
    </w:rPr>
  </w:style>
  <w:style w:type="character" w:customStyle="1" w:styleId="Bulletlevel1Char">
    <w:name w:val="Bullet level 1 Char"/>
    <w:basedOn w:val="DefaultParagraphFont"/>
    <w:link w:val="Bulletlevel1"/>
    <w:rsid w:val="00F015C9"/>
    <w:rPr>
      <w:rFonts w:ascii="Times New Roman" w:eastAsia="Times New Roman" w:hAnsi="Times New Roman" w:cs="Times New Roman"/>
      <w:sz w:val="24"/>
      <w:szCs w:val="24"/>
      <w:lang w:val="da-DK"/>
    </w:rPr>
  </w:style>
  <w:style w:type="paragraph" w:customStyle="1" w:styleId="H1">
    <w:name w:val="H1"/>
    <w:basedOn w:val="TOCHeading"/>
    <w:qFormat/>
    <w:rsid w:val="00F015C9"/>
    <w:rPr>
      <w:rFonts w:eastAsia="Times New Roman" w:cs="Times New Roman"/>
    </w:rPr>
  </w:style>
  <w:style w:type="paragraph" w:styleId="TOCHeading">
    <w:name w:val="TOC Heading"/>
    <w:basedOn w:val="Heading1"/>
    <w:next w:val="Normal"/>
    <w:uiPriority w:val="39"/>
    <w:semiHidden/>
    <w:unhideWhenUsed/>
    <w:qFormat/>
    <w:rsid w:val="00F015C9"/>
    <w:pPr>
      <w:shd w:val="clear" w:color="auto" w:fill="788E1E"/>
      <w:spacing w:before="120" w:after="120"/>
      <w:outlineLvl w:val="9"/>
    </w:pPr>
    <w:rPr>
      <w:rFonts w:ascii="Calibri" w:hAnsi="Calibri"/>
      <w:color w:val="FFFFFF"/>
      <w:sz w:val="22"/>
    </w:rPr>
  </w:style>
  <w:style w:type="paragraph" w:customStyle="1" w:styleId="H2">
    <w:name w:val="H2"/>
    <w:basedOn w:val="Heading2"/>
    <w:qFormat/>
    <w:rsid w:val="00F015C9"/>
    <w:pPr>
      <w:keepLines w:val="0"/>
      <w:spacing w:before="120" w:after="60"/>
      <w:jc w:val="left"/>
    </w:pPr>
    <w:rPr>
      <w:rFonts w:ascii="Calibri" w:hAnsi="Calibri" w:cs="Arial"/>
      <w:b/>
      <w:bCs/>
      <w:iCs/>
      <w:caps/>
      <w:color w:val="C15E03"/>
      <w:sz w:val="22"/>
      <w:szCs w:val="28"/>
      <w:lang w:val="en-US"/>
    </w:rPr>
  </w:style>
  <w:style w:type="paragraph" w:customStyle="1" w:styleId="Bullet4">
    <w:name w:val="Bullet 4"/>
    <w:basedOn w:val="Heading4"/>
    <w:qFormat/>
    <w:rsid w:val="00F015C9"/>
    <w:pPr>
      <w:numPr>
        <w:ilvl w:val="2"/>
        <w:numId w:val="5"/>
      </w:numPr>
    </w:pPr>
  </w:style>
  <w:style w:type="paragraph" w:customStyle="1" w:styleId="Figure">
    <w:name w:val="Figure"/>
    <w:basedOn w:val="Normal"/>
    <w:qFormat/>
    <w:rsid w:val="00F015C9"/>
    <w:rPr>
      <w:rFonts w:ascii="Gill Sans MT" w:hAnsi="Gill Sans MT"/>
      <w:b/>
      <w:color w:val="984806" w:themeColor="accent6" w:themeShade="80"/>
    </w:rPr>
  </w:style>
  <w:style w:type="paragraph" w:customStyle="1" w:styleId="H3">
    <w:name w:val="H 3"/>
    <w:basedOn w:val="Normal"/>
    <w:link w:val="H3Char"/>
    <w:qFormat/>
    <w:rsid w:val="00F015C9"/>
    <w:rPr>
      <w:rFonts w:ascii="Calibri" w:eastAsia="MS Mincho" w:hAnsi="Calibri" w:cs="Arial"/>
      <w:b/>
      <w:bCs/>
      <w:szCs w:val="26"/>
    </w:rPr>
  </w:style>
  <w:style w:type="character" w:customStyle="1" w:styleId="H3Char">
    <w:name w:val="H 3 Char"/>
    <w:basedOn w:val="DefaultParagraphFont"/>
    <w:link w:val="H3"/>
    <w:rsid w:val="00F015C9"/>
    <w:rPr>
      <w:rFonts w:ascii="Calibri" w:eastAsia="MS Mincho" w:hAnsi="Calibri" w:cs="Arial"/>
      <w:b/>
      <w:bCs/>
      <w:szCs w:val="26"/>
    </w:rPr>
  </w:style>
  <w:style w:type="paragraph" w:customStyle="1" w:styleId="Box">
    <w:name w:val="Box"/>
    <w:basedOn w:val="Normal"/>
    <w:link w:val="BoxChar"/>
    <w:qFormat/>
    <w:rsid w:val="00F015C9"/>
    <w:pPr>
      <w:shd w:val="clear" w:color="auto" w:fill="D6E3BC" w:themeFill="accent3" w:themeFillTint="66"/>
    </w:pPr>
    <w:rPr>
      <w:rFonts w:ascii="Gill Sans MT" w:hAnsi="Gill Sans MT"/>
      <w:sz w:val="20"/>
    </w:rPr>
  </w:style>
  <w:style w:type="character" w:customStyle="1" w:styleId="BoxChar">
    <w:name w:val="Box Char"/>
    <w:basedOn w:val="DefaultParagraphFont"/>
    <w:link w:val="Box"/>
    <w:rsid w:val="00F015C9"/>
    <w:rPr>
      <w:rFonts w:ascii="Gill Sans MT" w:hAnsi="Gill Sans MT"/>
      <w:sz w:val="20"/>
      <w:shd w:val="clear" w:color="auto" w:fill="D6E3BC" w:themeFill="accent3" w:themeFillTint="66"/>
    </w:rPr>
  </w:style>
  <w:style w:type="paragraph" w:styleId="ListParagraph">
    <w:name w:val="List Paragraph"/>
    <w:basedOn w:val="Normal"/>
    <w:autoRedefine/>
    <w:uiPriority w:val="34"/>
    <w:qFormat/>
    <w:rsid w:val="00F015C9"/>
    <w:pPr>
      <w:ind w:left="720"/>
      <w:contextualSpacing/>
    </w:pPr>
  </w:style>
  <w:style w:type="paragraph" w:customStyle="1" w:styleId="Default">
    <w:name w:val="Default"/>
    <w:rsid w:val="000060DA"/>
    <w:pPr>
      <w:autoSpaceDE w:val="0"/>
      <w:autoSpaceDN w:val="0"/>
      <w:adjustRightInd w:val="0"/>
      <w:spacing w:after="0" w:line="240" w:lineRule="auto"/>
    </w:pPr>
    <w:rPr>
      <w:rFonts w:ascii="Arial" w:eastAsiaTheme="minorEastAsia" w:hAnsi="Arial" w:cs="Arial"/>
      <w:color w:val="000000"/>
      <w:sz w:val="24"/>
      <w:szCs w:val="24"/>
    </w:rPr>
  </w:style>
  <w:style w:type="table" w:styleId="LightGrid-Accent2">
    <w:name w:val="Light Grid Accent 2"/>
    <w:basedOn w:val="TableNormal"/>
    <w:uiPriority w:val="62"/>
    <w:rsid w:val="000060DA"/>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H30">
    <w:name w:val="H3"/>
    <w:basedOn w:val="NoSpacing"/>
    <w:link w:val="H3Char0"/>
    <w:qFormat/>
    <w:rsid w:val="000060DA"/>
    <w:pPr>
      <w:spacing w:line="360" w:lineRule="auto"/>
    </w:pPr>
    <w:rPr>
      <w:b/>
      <w:i/>
    </w:rPr>
  </w:style>
  <w:style w:type="character" w:customStyle="1" w:styleId="H3Char0">
    <w:name w:val="H3 Char"/>
    <w:basedOn w:val="DefaultParagraphFont"/>
    <w:link w:val="H30"/>
    <w:rsid w:val="000060DA"/>
    <w:rPr>
      <w:rFonts w:eastAsiaTheme="minorEastAsia"/>
      <w:b/>
      <w:i/>
    </w:rPr>
  </w:style>
  <w:style w:type="paragraph" w:styleId="NoSpacing">
    <w:name w:val="No Spacing"/>
    <w:link w:val="NoSpacingChar"/>
    <w:uiPriority w:val="1"/>
    <w:qFormat/>
    <w:rsid w:val="000060DA"/>
    <w:pPr>
      <w:spacing w:after="0" w:line="240" w:lineRule="auto"/>
    </w:pPr>
    <w:rPr>
      <w:rFonts w:eastAsiaTheme="minorEastAsia"/>
    </w:rPr>
  </w:style>
  <w:style w:type="paragraph" w:styleId="BalloonText">
    <w:name w:val="Balloon Text"/>
    <w:basedOn w:val="Normal"/>
    <w:link w:val="BalloonTextChar"/>
    <w:uiPriority w:val="99"/>
    <w:semiHidden/>
    <w:unhideWhenUsed/>
    <w:rsid w:val="000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DA"/>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0060DA"/>
    <w:rPr>
      <w:rFonts w:eastAsiaTheme="minorEastAsia"/>
    </w:rPr>
  </w:style>
  <w:style w:type="table" w:styleId="LightGrid-Accent6">
    <w:name w:val="Light Grid Accent 6"/>
    <w:basedOn w:val="TableNormal"/>
    <w:uiPriority w:val="62"/>
    <w:rsid w:val="008208A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DA2C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Author">
    <w:name w:val="A. 'Author'"/>
    <w:basedOn w:val="Normal"/>
    <w:qFormat/>
    <w:rsid w:val="00416BA0"/>
    <w:pPr>
      <w:spacing w:after="0" w:line="240" w:lineRule="auto"/>
    </w:pPr>
    <w:rPr>
      <w:rFonts w:ascii="Times" w:eastAsia="Times New Roman" w:hAnsi="Times" w:cs="Tahoma"/>
      <w:b/>
      <w:color w:val="000000"/>
      <w:sz w:val="24"/>
      <w:szCs w:val="17"/>
    </w:rPr>
  </w:style>
  <w:style w:type="paragraph" w:customStyle="1" w:styleId="AEmail">
    <w:name w:val="A. Email"/>
    <w:basedOn w:val="Normal"/>
    <w:qFormat/>
    <w:rsid w:val="00416BA0"/>
    <w:pPr>
      <w:spacing w:after="0" w:line="240" w:lineRule="auto"/>
    </w:pPr>
    <w:rPr>
      <w:rFonts w:ascii="Times New Roman" w:eastAsia="Times New Roman" w:hAnsi="Times New Roman" w:cs="Times New Roman"/>
      <w:sz w:val="24"/>
      <w:szCs w:val="24"/>
    </w:rPr>
  </w:style>
  <w:style w:type="paragraph" w:customStyle="1" w:styleId="AID">
    <w:name w:val="A. ID"/>
    <w:basedOn w:val="Normal"/>
    <w:qFormat/>
    <w:rsid w:val="00416BA0"/>
    <w:pPr>
      <w:spacing w:after="0" w:line="240" w:lineRule="auto"/>
      <w:jc w:val="right"/>
    </w:pPr>
    <w:rPr>
      <w:rFonts w:ascii="Arial" w:eastAsia="Times New Roman" w:hAnsi="Arial" w:cs="Arial"/>
      <w:b/>
      <w:bCs/>
      <w:sz w:val="24"/>
      <w:szCs w:val="24"/>
    </w:rPr>
  </w:style>
  <w:style w:type="paragraph" w:customStyle="1" w:styleId="AOrganization">
    <w:name w:val="A. Organization"/>
    <w:basedOn w:val="Heading2"/>
    <w:qFormat/>
    <w:rsid w:val="00416BA0"/>
    <w:pPr>
      <w:keepNext w:val="0"/>
      <w:keepLines w:val="0"/>
      <w:spacing w:before="0" w:after="0" w:line="240" w:lineRule="auto"/>
      <w:jc w:val="left"/>
    </w:pPr>
    <w:rPr>
      <w:rFonts w:ascii="Times New Roman" w:eastAsia="Times New Roman" w:hAnsi="Times New Roman" w:cs="Arial"/>
      <w:bCs/>
      <w:iCs/>
      <w:color w:val="000000"/>
      <w:sz w:val="24"/>
      <w:szCs w:val="22"/>
      <w:lang w:val="es-CR"/>
    </w:rPr>
  </w:style>
  <w:style w:type="paragraph" w:customStyle="1" w:styleId="ATitle">
    <w:name w:val="A. Title"/>
    <w:basedOn w:val="Normal"/>
    <w:qFormat/>
    <w:rsid w:val="00416BA0"/>
    <w:pPr>
      <w:spacing w:after="0" w:line="240" w:lineRule="auto"/>
    </w:pPr>
    <w:rPr>
      <w:rFonts w:ascii="Arial" w:eastAsia="Times New Roman" w:hAnsi="Arial" w:cs="Arial"/>
      <w:b/>
      <w:color w:val="000000"/>
      <w:sz w:val="24"/>
      <w:szCs w:val="24"/>
    </w:rPr>
  </w:style>
  <w:style w:type="character" w:styleId="Hyperlink">
    <w:name w:val="Hyperlink"/>
    <w:basedOn w:val="DefaultParagraphFont"/>
    <w:uiPriority w:val="99"/>
    <w:unhideWhenUsed/>
    <w:rsid w:val="00416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ud.org/ICIUM/ConferenceMaterials/1069-rutta-_b.ppt"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mwansasu\My%20Documents\Synchronized%20Files\EADSI\May%202011\EADSI%20Price%20and%20Availability%20before%20and%20after%20Tanzania%20june%2011%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mwansasu\My%20Documents\Synchronized%20Files\EADSI\May%202011\Copy%20of%20EADSI%20Quality%20of%20care%20before%20and%20after%20Tanzania%20May%2011%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2"/>
          <c:tx>
            <c:strRef>
              <c:f>'Antimalarials UG May 11 (take2)'!$A$45</c:f>
            </c:strRef>
          </c:tx>
          <c:spPr>
            <a:solidFill>
              <a:schemeClr val="accent3">
                <a:lumMod val="50000"/>
              </a:schemeClr>
            </a:solidFill>
          </c:spPr>
          <c:invertIfNegative val="0"/>
          <c:cat>
            <c:multiLvlStrRef>
              <c:f>'Antimalarials UG May 11 (take2)'!$B$43:$G$44</c:f>
            </c:multiLvlStrRef>
          </c:cat>
          <c:val>
            <c:numRef>
              <c:f>'Antimalarials UG May 11 (take2)'!$B$45:$G$45</c:f>
            </c:numRef>
          </c:val>
        </c:ser>
        <c:ser>
          <c:idx val="3"/>
          <c:order val="3"/>
          <c:tx>
            <c:strRef>
              <c:f>'Antimalarials UG May 11 (take2)'!$A$46</c:f>
            </c:strRef>
          </c:tx>
          <c:spPr>
            <a:solidFill>
              <a:schemeClr val="accent6">
                <a:lumMod val="75000"/>
              </a:schemeClr>
            </a:solidFill>
          </c:spPr>
          <c:invertIfNegative val="0"/>
          <c:cat>
            <c:multiLvlStrRef>
              <c:f>'Antimalarials UG May 11 (take2)'!$B$43:$G$44</c:f>
            </c:multiLvlStrRef>
          </c:cat>
          <c:val>
            <c:numRef>
              <c:f>'Antimalarials UG May 11 (take2)'!$B$46:$G$46</c:f>
            </c:numRef>
          </c:val>
        </c:ser>
        <c:ser>
          <c:idx val="0"/>
          <c:order val="0"/>
          <c:tx>
            <c:strRef>
              <c:f>'Antidiarrhoea TZ'!$A$9</c:f>
              <c:strCache>
                <c:ptCount val="1"/>
                <c:pt idx="0">
                  <c:v>Baseline</c:v>
                </c:pt>
              </c:strCache>
            </c:strRef>
          </c:tx>
          <c:spPr>
            <a:solidFill>
              <a:schemeClr val="accent3">
                <a:lumMod val="5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multiLvlStrRef>
              <c:f>'Antidiarrhoea TZ'!$B$7:$E$8</c:f>
              <c:multiLvlStrCache>
                <c:ptCount val="4"/>
                <c:lvl>
                  <c:pt idx="0">
                    <c:v>Singida</c:v>
                  </c:pt>
                  <c:pt idx="1">
                    <c:v>Mara</c:v>
                  </c:pt>
                  <c:pt idx="2">
                    <c:v>Singida</c:v>
                  </c:pt>
                  <c:pt idx="3">
                    <c:v>Mara</c:v>
                  </c:pt>
                </c:lvl>
                <c:lvl>
                  <c:pt idx="0">
                    <c:v>ORS</c:v>
                  </c:pt>
                  <c:pt idx="2">
                    <c:v>Zinc tabs</c:v>
                  </c:pt>
                </c:lvl>
              </c:multiLvlStrCache>
            </c:multiLvlStrRef>
          </c:cat>
          <c:val>
            <c:numRef>
              <c:f>'Antidiarrhoea TZ'!$B$9:$E$9</c:f>
              <c:numCache>
                <c:formatCode>0%</c:formatCode>
                <c:ptCount val="4"/>
                <c:pt idx="0">
                  <c:v>0.72000000000000064</c:v>
                </c:pt>
                <c:pt idx="1">
                  <c:v>0.70000000000000062</c:v>
                </c:pt>
                <c:pt idx="2">
                  <c:v>0</c:v>
                </c:pt>
                <c:pt idx="3">
                  <c:v>9.0000000000000066E-2</c:v>
                </c:pt>
              </c:numCache>
            </c:numRef>
          </c:val>
        </c:ser>
        <c:ser>
          <c:idx val="1"/>
          <c:order val="1"/>
          <c:tx>
            <c:strRef>
              <c:f>'Antidiarrhoea TZ'!$A$10</c:f>
              <c:strCache>
                <c:ptCount val="1"/>
                <c:pt idx="0">
                  <c:v>Endine</c:v>
                </c:pt>
              </c:strCache>
            </c:strRef>
          </c:tx>
          <c:spPr>
            <a:solidFill>
              <a:schemeClr val="accent6">
                <a:lumMod val="75000"/>
              </a:schemeClr>
            </a:solidFill>
          </c:spPr>
          <c:invertIfNegative val="0"/>
          <c:dLbls>
            <c:dLbl>
              <c:idx val="1"/>
              <c:layout>
                <c:manualLayout>
                  <c:x val="6.4102564102564924E-3"/>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multiLvlStrRef>
              <c:f>'Antidiarrhoea TZ'!$B$7:$E$8</c:f>
              <c:multiLvlStrCache>
                <c:ptCount val="4"/>
                <c:lvl>
                  <c:pt idx="0">
                    <c:v>Singida</c:v>
                  </c:pt>
                  <c:pt idx="1">
                    <c:v>Mara</c:v>
                  </c:pt>
                  <c:pt idx="2">
                    <c:v>Singida</c:v>
                  </c:pt>
                  <c:pt idx="3">
                    <c:v>Mara</c:v>
                  </c:pt>
                </c:lvl>
                <c:lvl>
                  <c:pt idx="0">
                    <c:v>ORS</c:v>
                  </c:pt>
                  <c:pt idx="2">
                    <c:v>Zinc tabs</c:v>
                  </c:pt>
                </c:lvl>
              </c:multiLvlStrCache>
            </c:multiLvlStrRef>
          </c:cat>
          <c:val>
            <c:numRef>
              <c:f>'Antidiarrhoea TZ'!$B$10:$E$10</c:f>
              <c:numCache>
                <c:formatCode>0%</c:formatCode>
                <c:ptCount val="4"/>
                <c:pt idx="0">
                  <c:v>0.83000000000000063</c:v>
                </c:pt>
                <c:pt idx="1">
                  <c:v>0.70000000000000062</c:v>
                </c:pt>
                <c:pt idx="2">
                  <c:v>0.28000000000000008</c:v>
                </c:pt>
                <c:pt idx="3">
                  <c:v>0.52</c:v>
                </c:pt>
              </c:numCache>
            </c:numRef>
          </c:val>
        </c:ser>
        <c:dLbls>
          <c:showLegendKey val="0"/>
          <c:showVal val="0"/>
          <c:showCatName val="0"/>
          <c:showSerName val="0"/>
          <c:showPercent val="0"/>
          <c:showBubbleSize val="0"/>
        </c:dLbls>
        <c:gapWidth val="150"/>
        <c:axId val="429748608"/>
        <c:axId val="429750528"/>
      </c:barChart>
      <c:catAx>
        <c:axId val="429748608"/>
        <c:scaling>
          <c:orientation val="minMax"/>
        </c:scaling>
        <c:delete val="0"/>
        <c:axPos val="b"/>
        <c:majorTickMark val="out"/>
        <c:minorTickMark val="none"/>
        <c:tickLblPos val="nextTo"/>
        <c:spPr>
          <a:solidFill>
            <a:schemeClr val="bg1"/>
          </a:solidFill>
          <a:ln>
            <a:noFill/>
          </a:ln>
        </c:spPr>
        <c:txPr>
          <a:bodyPr/>
          <a:lstStyle/>
          <a:p>
            <a:pPr>
              <a:defRPr b="1"/>
            </a:pPr>
            <a:endParaRPr lang="en-US"/>
          </a:p>
        </c:txPr>
        <c:crossAx val="429750528"/>
        <c:crosses val="autoZero"/>
        <c:auto val="1"/>
        <c:lblAlgn val="ctr"/>
        <c:lblOffset val="100"/>
        <c:noMultiLvlLbl val="0"/>
      </c:catAx>
      <c:valAx>
        <c:axId val="429750528"/>
        <c:scaling>
          <c:orientation val="minMax"/>
        </c:scaling>
        <c:delete val="1"/>
        <c:axPos val="l"/>
        <c:numFmt formatCode="0%" sourceLinked="1"/>
        <c:majorTickMark val="out"/>
        <c:minorTickMark val="none"/>
        <c:tickLblPos val="none"/>
        <c:crossAx val="429748608"/>
        <c:crosses val="autoZero"/>
        <c:crossBetween val="between"/>
      </c:valAx>
      <c:spPr>
        <a:noFill/>
      </c:spPr>
    </c:plotArea>
    <c:legend>
      <c:legendPos val="r"/>
      <c:legendEntry>
        <c:idx val="0"/>
        <c:delete val="1"/>
      </c:legendEntry>
      <c:legendEntry>
        <c:idx val="1"/>
        <c:delete val="1"/>
      </c:legendEntry>
      <c:overlay val="0"/>
      <c:txPr>
        <a:bodyPr/>
        <a:lstStyle/>
        <a:p>
          <a:pPr>
            <a:defRPr b="1"/>
          </a:pPr>
          <a:endParaRPr lang="en-US"/>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solidFill>
                  <a:schemeClr val="accent6">
                    <a:lumMod val="50000"/>
                  </a:schemeClr>
                </a:solidFill>
              </a:rPr>
              <a:t>Percentage of non-bloody diarrhea</a:t>
            </a:r>
            <a:r>
              <a:rPr lang="en-US" sz="1100" baseline="0">
                <a:solidFill>
                  <a:schemeClr val="accent6">
                    <a:lumMod val="50000"/>
                  </a:schemeClr>
                </a:solidFill>
              </a:rPr>
              <a:t> </a:t>
            </a:r>
            <a:r>
              <a:rPr lang="en-US" sz="1100">
                <a:solidFill>
                  <a:schemeClr val="accent6">
                    <a:lumMod val="50000"/>
                  </a:schemeClr>
                </a:solidFill>
              </a:rPr>
              <a:t>encounters</a:t>
            </a:r>
            <a:r>
              <a:rPr lang="en-US" sz="1100" baseline="0">
                <a:solidFill>
                  <a:schemeClr val="accent6">
                    <a:lumMod val="50000"/>
                  </a:schemeClr>
                </a:solidFill>
              </a:rPr>
              <a:t> dispensed with medicines</a:t>
            </a:r>
            <a:endParaRPr lang="en-US" sz="1100">
              <a:solidFill>
                <a:schemeClr val="accent6">
                  <a:lumMod val="50000"/>
                </a:schemeClr>
              </a:solidFill>
            </a:endParaRPr>
          </a:p>
        </c:rich>
      </c:tx>
      <c:overlay val="0"/>
    </c:title>
    <c:autoTitleDeleted val="0"/>
    <c:plotArea>
      <c:layout>
        <c:manualLayout>
          <c:layoutTarget val="inner"/>
          <c:xMode val="edge"/>
          <c:yMode val="edge"/>
          <c:x val="2.3249718115890806E-2"/>
          <c:y val="0.11901420751656266"/>
          <c:w val="0.83319483912843528"/>
          <c:h val="0.65682660226103573"/>
        </c:manualLayout>
      </c:layout>
      <c:barChart>
        <c:barDir val="col"/>
        <c:grouping val="clustered"/>
        <c:varyColors val="0"/>
        <c:ser>
          <c:idx val="0"/>
          <c:order val="0"/>
          <c:tx>
            <c:strRef>
              <c:f>'Diarrhea All TZ (May 11)'!$A$12</c:f>
              <c:strCache>
                <c:ptCount val="1"/>
                <c:pt idx="0">
                  <c:v>Baseline</c:v>
                </c:pt>
              </c:strCache>
            </c:strRef>
          </c:tx>
          <c:spPr>
            <a:solidFill>
              <a:srgbClr val="F79646">
                <a:lumMod val="75000"/>
              </a:srgbClr>
            </a:solidFill>
          </c:spPr>
          <c:invertIfNegative val="0"/>
          <c:dLbls>
            <c:txPr>
              <a:bodyPr/>
              <a:lstStyle/>
              <a:p>
                <a:pPr>
                  <a:defRPr sz="900" b="1"/>
                </a:pPr>
                <a:endParaRPr lang="en-US"/>
              </a:p>
            </c:txPr>
            <c:showLegendKey val="0"/>
            <c:showVal val="1"/>
            <c:showCatName val="0"/>
            <c:showSerName val="0"/>
            <c:showPercent val="0"/>
            <c:showBubbleSize val="0"/>
            <c:showLeaderLines val="0"/>
          </c:dLbls>
          <c:cat>
            <c:multiLvlStrRef>
              <c:f>'Diarrhea All TZ (May 11)'!$B$10:$I$11</c:f>
              <c:multiLvlStrCache>
                <c:ptCount val="8"/>
                <c:lvl>
                  <c:pt idx="0">
                    <c:v>Singida </c:v>
                  </c:pt>
                  <c:pt idx="1">
                    <c:v>Mara </c:v>
                  </c:pt>
                  <c:pt idx="2">
                    <c:v>Singida </c:v>
                  </c:pt>
                  <c:pt idx="3">
                    <c:v>Mara </c:v>
                  </c:pt>
                  <c:pt idx="4">
                    <c:v>Singida </c:v>
                  </c:pt>
                  <c:pt idx="5">
                    <c:v>Mara </c:v>
                  </c:pt>
                  <c:pt idx="6">
                    <c:v>Singida </c:v>
                  </c:pt>
                  <c:pt idx="7">
                    <c:v>Mara </c:v>
                  </c:pt>
                </c:lvl>
                <c:lvl>
                  <c:pt idx="0">
                    <c:v>Antibiotics</c:v>
                  </c:pt>
                  <c:pt idx="2">
                    <c:v>ORS</c:v>
                  </c:pt>
                  <c:pt idx="4">
                    <c:v>Zinc</c:v>
                  </c:pt>
                  <c:pt idx="6">
                    <c:v>Others</c:v>
                  </c:pt>
                </c:lvl>
              </c:multiLvlStrCache>
            </c:multiLvlStrRef>
          </c:cat>
          <c:val>
            <c:numRef>
              <c:f>'Diarrhea All TZ (May 11)'!$B$12:$I$12</c:f>
              <c:numCache>
                <c:formatCode>0%</c:formatCode>
                <c:ptCount val="8"/>
                <c:pt idx="0">
                  <c:v>0.98</c:v>
                </c:pt>
                <c:pt idx="1">
                  <c:v>0.84000000000000064</c:v>
                </c:pt>
                <c:pt idx="2">
                  <c:v>0.2</c:v>
                </c:pt>
                <c:pt idx="3">
                  <c:v>0.18000000000000024</c:v>
                </c:pt>
                <c:pt idx="5">
                  <c:v>7.0000000000000021E-2</c:v>
                </c:pt>
                <c:pt idx="6">
                  <c:v>0.1</c:v>
                </c:pt>
                <c:pt idx="7">
                  <c:v>0.24000000000000021</c:v>
                </c:pt>
              </c:numCache>
            </c:numRef>
          </c:val>
        </c:ser>
        <c:ser>
          <c:idx val="1"/>
          <c:order val="1"/>
          <c:tx>
            <c:strRef>
              <c:f>'Diarrhea All TZ (May 11)'!$A$13</c:f>
              <c:strCache>
                <c:ptCount val="1"/>
                <c:pt idx="0">
                  <c:v>Endline</c:v>
                </c:pt>
              </c:strCache>
            </c:strRef>
          </c:tx>
          <c:spPr>
            <a:solidFill>
              <a:srgbClr val="9BBB59">
                <a:lumMod val="50000"/>
              </a:srgbClr>
            </a:solidFill>
          </c:spPr>
          <c:invertIfNegative val="0"/>
          <c:dLbls>
            <c:txPr>
              <a:bodyPr/>
              <a:lstStyle/>
              <a:p>
                <a:pPr>
                  <a:defRPr sz="900" b="1"/>
                </a:pPr>
                <a:endParaRPr lang="en-US"/>
              </a:p>
            </c:txPr>
            <c:showLegendKey val="0"/>
            <c:showVal val="1"/>
            <c:showCatName val="0"/>
            <c:showSerName val="0"/>
            <c:showPercent val="0"/>
            <c:showBubbleSize val="0"/>
            <c:showLeaderLines val="0"/>
          </c:dLbls>
          <c:cat>
            <c:multiLvlStrRef>
              <c:f>'Diarrhea All TZ (May 11)'!$B$10:$I$11</c:f>
              <c:multiLvlStrCache>
                <c:ptCount val="8"/>
                <c:lvl>
                  <c:pt idx="0">
                    <c:v>Singida </c:v>
                  </c:pt>
                  <c:pt idx="1">
                    <c:v>Mara </c:v>
                  </c:pt>
                  <c:pt idx="2">
                    <c:v>Singida </c:v>
                  </c:pt>
                  <c:pt idx="3">
                    <c:v>Mara </c:v>
                  </c:pt>
                  <c:pt idx="4">
                    <c:v>Singida </c:v>
                  </c:pt>
                  <c:pt idx="5">
                    <c:v>Mara </c:v>
                  </c:pt>
                  <c:pt idx="6">
                    <c:v>Singida </c:v>
                  </c:pt>
                  <c:pt idx="7">
                    <c:v>Mara </c:v>
                  </c:pt>
                </c:lvl>
                <c:lvl>
                  <c:pt idx="0">
                    <c:v>Antibiotics</c:v>
                  </c:pt>
                  <c:pt idx="2">
                    <c:v>ORS</c:v>
                  </c:pt>
                  <c:pt idx="4">
                    <c:v>Zinc</c:v>
                  </c:pt>
                  <c:pt idx="6">
                    <c:v>Others</c:v>
                  </c:pt>
                </c:lvl>
              </c:multiLvlStrCache>
            </c:multiLvlStrRef>
          </c:cat>
          <c:val>
            <c:numRef>
              <c:f>'Diarrhea All TZ (May 11)'!$B$13:$I$13</c:f>
              <c:numCache>
                <c:formatCode>0%</c:formatCode>
                <c:ptCount val="8"/>
                <c:pt idx="0">
                  <c:v>0.76000000000001333</c:v>
                </c:pt>
                <c:pt idx="1">
                  <c:v>0.87000000000000965</c:v>
                </c:pt>
                <c:pt idx="2">
                  <c:v>0.33000000000000701</c:v>
                </c:pt>
                <c:pt idx="3">
                  <c:v>0.22</c:v>
                </c:pt>
                <c:pt idx="4">
                  <c:v>9.0000000000000024E-2</c:v>
                </c:pt>
                <c:pt idx="5">
                  <c:v>0.05</c:v>
                </c:pt>
                <c:pt idx="6">
                  <c:v>0.17</c:v>
                </c:pt>
                <c:pt idx="7">
                  <c:v>0.30000000000000032</c:v>
                </c:pt>
              </c:numCache>
            </c:numRef>
          </c:val>
        </c:ser>
        <c:dLbls>
          <c:showLegendKey val="0"/>
          <c:showVal val="1"/>
          <c:showCatName val="0"/>
          <c:showSerName val="0"/>
          <c:showPercent val="0"/>
          <c:showBubbleSize val="0"/>
        </c:dLbls>
        <c:gapWidth val="150"/>
        <c:overlap val="-25"/>
        <c:axId val="420594048"/>
        <c:axId val="420595584"/>
      </c:barChart>
      <c:catAx>
        <c:axId val="420594048"/>
        <c:scaling>
          <c:orientation val="minMax"/>
        </c:scaling>
        <c:delete val="0"/>
        <c:axPos val="b"/>
        <c:majorTickMark val="none"/>
        <c:minorTickMark val="none"/>
        <c:tickLblPos val="nextTo"/>
        <c:txPr>
          <a:bodyPr/>
          <a:lstStyle/>
          <a:p>
            <a:pPr>
              <a:defRPr sz="900" b="1"/>
            </a:pPr>
            <a:endParaRPr lang="en-US"/>
          </a:p>
        </c:txPr>
        <c:crossAx val="420595584"/>
        <c:crosses val="autoZero"/>
        <c:auto val="1"/>
        <c:lblAlgn val="ctr"/>
        <c:lblOffset val="100"/>
        <c:noMultiLvlLbl val="0"/>
      </c:catAx>
      <c:valAx>
        <c:axId val="420595584"/>
        <c:scaling>
          <c:orientation val="minMax"/>
        </c:scaling>
        <c:delete val="1"/>
        <c:axPos val="l"/>
        <c:numFmt formatCode="0%" sourceLinked="1"/>
        <c:majorTickMark val="out"/>
        <c:minorTickMark val="none"/>
        <c:tickLblPos val="none"/>
        <c:crossAx val="420594048"/>
        <c:crosses val="autoZero"/>
        <c:crossBetween val="between"/>
      </c:valAx>
    </c:plotArea>
    <c:legend>
      <c:legendPos val="r"/>
      <c:overlay val="0"/>
      <c:txPr>
        <a:bodyPr/>
        <a:lstStyle/>
        <a:p>
          <a:pPr>
            <a:defRPr sz="1000" b="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Embrey</dc:creator>
  <cp:lastModifiedBy>Martha Embrey</cp:lastModifiedBy>
  <cp:revision>3</cp:revision>
  <dcterms:created xsi:type="dcterms:W3CDTF">2014-06-24T15:11:00Z</dcterms:created>
  <dcterms:modified xsi:type="dcterms:W3CDTF">2014-06-26T22:05:00Z</dcterms:modified>
</cp:coreProperties>
</file>